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DAB4" w14:textId="77777777" w:rsidR="000A51E5" w:rsidRDefault="002D403E">
      <w:pPr>
        <w:spacing w:before="17"/>
        <w:ind w:left="3016" w:right="3017"/>
        <w:jc w:val="center"/>
        <w:rPr>
          <w:b/>
          <w:sz w:val="28"/>
        </w:rPr>
      </w:pPr>
      <w:r>
        <w:rPr>
          <w:b/>
          <w:sz w:val="28"/>
        </w:rPr>
        <w:t>Report of Findings</w:t>
      </w:r>
    </w:p>
    <w:p w14:paraId="4820F246" w14:textId="77777777" w:rsidR="000A51E5" w:rsidRDefault="002D403E">
      <w:pPr>
        <w:pStyle w:val="BodyText"/>
        <w:spacing w:line="242" w:lineRule="auto"/>
        <w:ind w:left="3020" w:right="3017"/>
        <w:jc w:val="center"/>
      </w:pPr>
      <w:r>
        <w:t>Commission on Teacher Credentialing Initial Program Review Feedback</w:t>
      </w:r>
    </w:p>
    <w:p w14:paraId="32FB3AD3" w14:textId="77777777" w:rsidR="000A51E5" w:rsidRDefault="000A51E5">
      <w:pPr>
        <w:spacing w:before="8"/>
        <w:rPr>
          <w:b/>
          <w:sz w:val="23"/>
        </w:rPr>
      </w:pPr>
    </w:p>
    <w:p w14:paraId="6B0C90DC" w14:textId="77777777" w:rsidR="000A51E5" w:rsidRDefault="002D403E">
      <w:pPr>
        <w:pStyle w:val="BodyText"/>
        <w:ind w:left="3010" w:right="3017"/>
        <w:jc w:val="center"/>
      </w:pPr>
      <w:r>
        <w:t>Bilingual Authorization (2008)</w:t>
      </w:r>
    </w:p>
    <w:p w14:paraId="5C1E2A74" w14:textId="77777777" w:rsidR="000A51E5" w:rsidRDefault="000A51E5">
      <w:pPr>
        <w:rPr>
          <w:b/>
          <w:sz w:val="20"/>
        </w:rPr>
      </w:pPr>
    </w:p>
    <w:p w14:paraId="0C4F7897" w14:textId="77777777" w:rsidR="000A51E5" w:rsidRDefault="000A51E5">
      <w:pPr>
        <w:spacing w:before="1" w:after="1"/>
        <w:rPr>
          <w:b/>
          <w:sz w:val="28"/>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8"/>
        <w:gridCol w:w="4548"/>
      </w:tblGrid>
      <w:tr w:rsidR="000A51E5" w14:paraId="108D930D" w14:textId="77777777">
        <w:trPr>
          <w:trHeight w:val="585"/>
        </w:trPr>
        <w:tc>
          <w:tcPr>
            <w:tcW w:w="4188" w:type="dxa"/>
          </w:tcPr>
          <w:p w14:paraId="5FD1E12A" w14:textId="77777777" w:rsidR="000A51E5" w:rsidRDefault="002D403E">
            <w:pPr>
              <w:pStyle w:val="TableParagraph"/>
              <w:spacing w:line="291" w:lineRule="exact"/>
              <w:rPr>
                <w:sz w:val="24"/>
              </w:rPr>
            </w:pPr>
            <w:r>
              <w:rPr>
                <w:sz w:val="24"/>
              </w:rPr>
              <w:t>Institution</w:t>
            </w:r>
          </w:p>
        </w:tc>
        <w:tc>
          <w:tcPr>
            <w:tcW w:w="4548" w:type="dxa"/>
          </w:tcPr>
          <w:p w14:paraId="11B7FDD3" w14:textId="77777777" w:rsidR="000A51E5" w:rsidRDefault="002D403E">
            <w:pPr>
              <w:pStyle w:val="TableParagraph"/>
              <w:spacing w:line="291" w:lineRule="exact"/>
              <w:rPr>
                <w:sz w:val="24"/>
              </w:rPr>
            </w:pPr>
            <w:r>
              <w:rPr>
                <w:sz w:val="24"/>
              </w:rPr>
              <w:t>Alliant International University: California</w:t>
            </w:r>
          </w:p>
          <w:p w14:paraId="5A913AE7" w14:textId="77777777" w:rsidR="000A51E5" w:rsidRDefault="002D403E">
            <w:pPr>
              <w:pStyle w:val="TableParagraph"/>
              <w:spacing w:before="3" w:line="272" w:lineRule="exact"/>
              <w:rPr>
                <w:sz w:val="24"/>
              </w:rPr>
            </w:pPr>
            <w:r>
              <w:rPr>
                <w:sz w:val="24"/>
              </w:rPr>
              <w:t>School of Education</w:t>
            </w:r>
          </w:p>
        </w:tc>
      </w:tr>
      <w:tr w:rsidR="000A51E5" w14:paraId="786D5587" w14:textId="77777777">
        <w:trPr>
          <w:trHeight w:val="294"/>
        </w:trPr>
        <w:tc>
          <w:tcPr>
            <w:tcW w:w="4188" w:type="dxa"/>
          </w:tcPr>
          <w:p w14:paraId="224F191D" w14:textId="77777777" w:rsidR="000A51E5" w:rsidRDefault="002D403E">
            <w:pPr>
              <w:pStyle w:val="TableParagraph"/>
              <w:spacing w:line="274" w:lineRule="exact"/>
              <w:rPr>
                <w:sz w:val="24"/>
              </w:rPr>
            </w:pPr>
            <w:r>
              <w:rPr>
                <w:sz w:val="24"/>
              </w:rPr>
              <w:t>Date of initial review</w:t>
            </w:r>
          </w:p>
        </w:tc>
        <w:tc>
          <w:tcPr>
            <w:tcW w:w="4548" w:type="dxa"/>
          </w:tcPr>
          <w:p w14:paraId="4F833AA3" w14:textId="77777777" w:rsidR="000A51E5" w:rsidRDefault="002D403E">
            <w:pPr>
              <w:pStyle w:val="TableParagraph"/>
              <w:spacing w:line="274" w:lineRule="exact"/>
              <w:rPr>
                <w:sz w:val="24"/>
              </w:rPr>
            </w:pPr>
            <w:r>
              <w:rPr>
                <w:sz w:val="24"/>
              </w:rPr>
              <w:t>2.3.20</w:t>
            </w:r>
          </w:p>
        </w:tc>
      </w:tr>
      <w:tr w:rsidR="000A51E5" w14:paraId="116D0F38" w14:textId="77777777">
        <w:trPr>
          <w:trHeight w:val="289"/>
        </w:trPr>
        <w:tc>
          <w:tcPr>
            <w:tcW w:w="4188" w:type="dxa"/>
          </w:tcPr>
          <w:p w14:paraId="157725D7" w14:textId="77777777" w:rsidR="000A51E5" w:rsidRDefault="002D403E">
            <w:pPr>
              <w:pStyle w:val="TableParagraph"/>
              <w:spacing w:line="270" w:lineRule="exact"/>
              <w:rPr>
                <w:sz w:val="24"/>
              </w:rPr>
            </w:pPr>
            <w:r>
              <w:rPr>
                <w:sz w:val="24"/>
              </w:rPr>
              <w:t>Subsequent dates of review</w:t>
            </w:r>
          </w:p>
        </w:tc>
        <w:tc>
          <w:tcPr>
            <w:tcW w:w="4548" w:type="dxa"/>
          </w:tcPr>
          <w:p w14:paraId="16F35E15" w14:textId="34D2ED08" w:rsidR="000A51E5" w:rsidRDefault="002D403E">
            <w:pPr>
              <w:pStyle w:val="TableParagraph"/>
              <w:spacing w:line="270" w:lineRule="exact"/>
              <w:rPr>
                <w:sz w:val="24"/>
              </w:rPr>
            </w:pPr>
            <w:r>
              <w:rPr>
                <w:color w:val="00AF50"/>
                <w:sz w:val="24"/>
              </w:rPr>
              <w:t>5.19.20</w:t>
            </w:r>
            <w:r w:rsidR="000F5F92">
              <w:rPr>
                <w:color w:val="00AF50"/>
                <w:sz w:val="24"/>
              </w:rPr>
              <w:t xml:space="preserve"> </w:t>
            </w:r>
            <w:r w:rsidR="000F5F92" w:rsidRPr="000F5F92">
              <w:rPr>
                <w:color w:val="7030A0"/>
                <w:sz w:val="24"/>
              </w:rPr>
              <w:t>September 2020</w:t>
            </w:r>
            <w:r w:rsidR="00DD1ED2">
              <w:rPr>
                <w:color w:val="7030A0"/>
                <w:sz w:val="24"/>
              </w:rPr>
              <w:t xml:space="preserve"> </w:t>
            </w:r>
            <w:r w:rsidR="00DD1ED2" w:rsidRPr="00DD1ED2">
              <w:rPr>
                <w:color w:val="FF0000"/>
                <w:sz w:val="24"/>
              </w:rPr>
              <w:t>April 2021</w:t>
            </w:r>
          </w:p>
        </w:tc>
      </w:tr>
      <w:tr w:rsidR="000A51E5" w14:paraId="20F3AAB9" w14:textId="77777777">
        <w:trPr>
          <w:trHeight w:val="294"/>
        </w:trPr>
        <w:tc>
          <w:tcPr>
            <w:tcW w:w="4188" w:type="dxa"/>
          </w:tcPr>
          <w:p w14:paraId="1FED84AD" w14:textId="77777777" w:rsidR="000A51E5" w:rsidRDefault="002D403E">
            <w:pPr>
              <w:pStyle w:val="TableParagraph"/>
              <w:spacing w:before="2" w:line="272" w:lineRule="exact"/>
              <w:rPr>
                <w:sz w:val="24"/>
              </w:rPr>
            </w:pPr>
            <w:r>
              <w:rPr>
                <w:sz w:val="24"/>
              </w:rPr>
              <w:t>Date Preconditions Complete</w:t>
            </w:r>
          </w:p>
        </w:tc>
        <w:tc>
          <w:tcPr>
            <w:tcW w:w="4548" w:type="dxa"/>
          </w:tcPr>
          <w:p w14:paraId="7607B690" w14:textId="77777777" w:rsidR="000A51E5" w:rsidRDefault="000A51E5">
            <w:pPr>
              <w:pStyle w:val="TableParagraph"/>
              <w:ind w:left="0"/>
              <w:rPr>
                <w:rFonts w:ascii="Times New Roman"/>
              </w:rPr>
            </w:pPr>
          </w:p>
        </w:tc>
      </w:tr>
      <w:tr w:rsidR="000A51E5" w14:paraId="4878ACFB" w14:textId="77777777">
        <w:trPr>
          <w:trHeight w:val="294"/>
        </w:trPr>
        <w:tc>
          <w:tcPr>
            <w:tcW w:w="4188" w:type="dxa"/>
          </w:tcPr>
          <w:p w14:paraId="3EE95126" w14:textId="77777777" w:rsidR="000A51E5" w:rsidRDefault="002D403E">
            <w:pPr>
              <w:pStyle w:val="TableParagraph"/>
              <w:spacing w:before="2" w:line="272" w:lineRule="exact"/>
              <w:rPr>
                <w:sz w:val="24"/>
              </w:rPr>
            </w:pPr>
            <w:r>
              <w:rPr>
                <w:sz w:val="24"/>
              </w:rPr>
              <w:t>Date Common Standard Aligned</w:t>
            </w:r>
          </w:p>
        </w:tc>
        <w:tc>
          <w:tcPr>
            <w:tcW w:w="4548" w:type="dxa"/>
          </w:tcPr>
          <w:p w14:paraId="17DB05C2" w14:textId="77777777" w:rsidR="000A51E5" w:rsidRDefault="000A51E5">
            <w:pPr>
              <w:pStyle w:val="TableParagraph"/>
              <w:ind w:left="0"/>
              <w:rPr>
                <w:rFonts w:ascii="Times New Roman"/>
              </w:rPr>
            </w:pPr>
          </w:p>
        </w:tc>
      </w:tr>
      <w:tr w:rsidR="000A51E5" w14:paraId="1B36E9FB" w14:textId="77777777">
        <w:trPr>
          <w:trHeight w:val="290"/>
        </w:trPr>
        <w:tc>
          <w:tcPr>
            <w:tcW w:w="4188" w:type="dxa"/>
          </w:tcPr>
          <w:p w14:paraId="5890FA4A" w14:textId="77777777" w:rsidR="000A51E5" w:rsidRDefault="002D403E">
            <w:pPr>
              <w:pStyle w:val="TableParagraph"/>
              <w:spacing w:line="270" w:lineRule="exact"/>
              <w:rPr>
                <w:sz w:val="24"/>
              </w:rPr>
            </w:pPr>
            <w:r>
              <w:rPr>
                <w:sz w:val="24"/>
              </w:rPr>
              <w:t>Date Program Standards Aligned</w:t>
            </w:r>
          </w:p>
        </w:tc>
        <w:tc>
          <w:tcPr>
            <w:tcW w:w="4548" w:type="dxa"/>
          </w:tcPr>
          <w:p w14:paraId="4CDED24E" w14:textId="77777777" w:rsidR="000A51E5" w:rsidRDefault="000A51E5">
            <w:pPr>
              <w:pStyle w:val="TableParagraph"/>
              <w:ind w:left="0"/>
              <w:rPr>
                <w:rFonts w:ascii="Times New Roman"/>
                <w:sz w:val="20"/>
              </w:rPr>
            </w:pPr>
          </w:p>
        </w:tc>
      </w:tr>
    </w:tbl>
    <w:p w14:paraId="24BB0E63" w14:textId="77777777" w:rsidR="000A51E5" w:rsidRDefault="000A51E5">
      <w:pPr>
        <w:rPr>
          <w:b/>
          <w:sz w:val="20"/>
        </w:rPr>
      </w:pPr>
    </w:p>
    <w:p w14:paraId="3723BB64" w14:textId="77777777" w:rsidR="000A51E5" w:rsidRDefault="000A51E5">
      <w:pPr>
        <w:spacing w:before="2"/>
        <w:rPr>
          <w:b/>
          <w:sz w:val="24"/>
        </w:rPr>
      </w:pPr>
    </w:p>
    <w:p w14:paraId="70D8B37B" w14:textId="77777777" w:rsidR="000A51E5" w:rsidRDefault="002D403E">
      <w:pPr>
        <w:pStyle w:val="BodyText"/>
        <w:spacing w:before="52" w:line="293" w:lineRule="exact"/>
        <w:ind w:left="580"/>
      </w:pPr>
      <w:r>
        <w:t>General Comments:</w:t>
      </w:r>
    </w:p>
    <w:p w14:paraId="446A72D0" w14:textId="77777777" w:rsidR="000A51E5" w:rsidRDefault="002D403E">
      <w:pPr>
        <w:spacing w:line="293" w:lineRule="exact"/>
        <w:ind w:left="579"/>
        <w:rPr>
          <w:sz w:val="24"/>
        </w:rPr>
      </w:pPr>
      <w:r>
        <w:rPr>
          <w:color w:val="00AF50"/>
          <w:sz w:val="24"/>
        </w:rPr>
        <w:t>5.19.20 review comments included in green.</w:t>
      </w:r>
    </w:p>
    <w:p w14:paraId="42C37C97" w14:textId="77777777" w:rsidR="000A51E5" w:rsidRDefault="000A51E5">
      <w:pPr>
        <w:spacing w:before="11"/>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8108"/>
      </w:tblGrid>
      <w:tr w:rsidR="000A51E5" w14:paraId="3D63044D" w14:textId="77777777">
        <w:trPr>
          <w:trHeight w:val="293"/>
        </w:trPr>
        <w:tc>
          <w:tcPr>
            <w:tcW w:w="1476" w:type="dxa"/>
          </w:tcPr>
          <w:p w14:paraId="608F7D54" w14:textId="77777777" w:rsidR="000A51E5" w:rsidRDefault="002D403E">
            <w:pPr>
              <w:pStyle w:val="TableParagraph"/>
              <w:spacing w:before="2" w:line="272" w:lineRule="exact"/>
              <w:ind w:left="422"/>
              <w:rPr>
                <w:b/>
                <w:sz w:val="24"/>
              </w:rPr>
            </w:pPr>
            <w:r>
              <w:rPr>
                <w:b/>
                <w:sz w:val="24"/>
              </w:rPr>
              <w:t>Status</w:t>
            </w:r>
          </w:p>
        </w:tc>
        <w:tc>
          <w:tcPr>
            <w:tcW w:w="8108" w:type="dxa"/>
          </w:tcPr>
          <w:p w14:paraId="7BC7DC80" w14:textId="77777777" w:rsidR="000A51E5" w:rsidRDefault="002D403E">
            <w:pPr>
              <w:pStyle w:val="TableParagraph"/>
              <w:spacing w:before="2" w:line="272" w:lineRule="exact"/>
              <w:ind w:left="3578" w:right="3574"/>
              <w:jc w:val="center"/>
              <w:rPr>
                <w:b/>
                <w:sz w:val="24"/>
              </w:rPr>
            </w:pPr>
            <w:r>
              <w:rPr>
                <w:b/>
                <w:sz w:val="24"/>
              </w:rPr>
              <w:t>Standard</w:t>
            </w:r>
          </w:p>
        </w:tc>
      </w:tr>
      <w:tr w:rsidR="000A51E5" w14:paraId="51B27D77" w14:textId="77777777">
        <w:trPr>
          <w:trHeight w:val="6650"/>
        </w:trPr>
        <w:tc>
          <w:tcPr>
            <w:tcW w:w="1476" w:type="dxa"/>
          </w:tcPr>
          <w:p w14:paraId="1AA8C3BC" w14:textId="77777777" w:rsidR="000A51E5" w:rsidRDefault="000A51E5">
            <w:pPr>
              <w:pStyle w:val="TableParagraph"/>
              <w:ind w:left="0"/>
              <w:rPr>
                <w:sz w:val="24"/>
              </w:rPr>
            </w:pPr>
          </w:p>
          <w:p w14:paraId="5769BAE4" w14:textId="77777777" w:rsidR="000A51E5" w:rsidRDefault="000A51E5">
            <w:pPr>
              <w:pStyle w:val="TableParagraph"/>
              <w:ind w:left="0"/>
              <w:rPr>
                <w:sz w:val="24"/>
              </w:rPr>
            </w:pPr>
          </w:p>
          <w:p w14:paraId="0E33B47E" w14:textId="77777777" w:rsidR="000A51E5" w:rsidRDefault="000A51E5">
            <w:pPr>
              <w:pStyle w:val="TableParagraph"/>
              <w:ind w:left="0"/>
              <w:rPr>
                <w:sz w:val="24"/>
              </w:rPr>
            </w:pPr>
          </w:p>
          <w:p w14:paraId="709FFC52" w14:textId="77777777" w:rsidR="000A51E5" w:rsidRDefault="000A51E5">
            <w:pPr>
              <w:pStyle w:val="TableParagraph"/>
              <w:ind w:left="0"/>
              <w:rPr>
                <w:sz w:val="24"/>
              </w:rPr>
            </w:pPr>
          </w:p>
          <w:p w14:paraId="449FB89F" w14:textId="77777777" w:rsidR="000A51E5" w:rsidRDefault="000A51E5">
            <w:pPr>
              <w:pStyle w:val="TableParagraph"/>
              <w:ind w:left="0"/>
              <w:rPr>
                <w:sz w:val="24"/>
              </w:rPr>
            </w:pPr>
          </w:p>
          <w:p w14:paraId="3E7A75B7" w14:textId="77777777" w:rsidR="000A51E5" w:rsidRDefault="000A51E5">
            <w:pPr>
              <w:pStyle w:val="TableParagraph"/>
              <w:ind w:left="0"/>
              <w:rPr>
                <w:sz w:val="24"/>
              </w:rPr>
            </w:pPr>
          </w:p>
          <w:p w14:paraId="7B02D208" w14:textId="77777777" w:rsidR="000A51E5" w:rsidRDefault="000A51E5">
            <w:pPr>
              <w:pStyle w:val="TableParagraph"/>
              <w:ind w:left="0"/>
              <w:rPr>
                <w:sz w:val="24"/>
              </w:rPr>
            </w:pPr>
          </w:p>
          <w:p w14:paraId="364073F8" w14:textId="77777777" w:rsidR="000A51E5" w:rsidRDefault="000A51E5">
            <w:pPr>
              <w:pStyle w:val="TableParagraph"/>
              <w:spacing w:before="7"/>
              <w:ind w:left="0"/>
              <w:rPr>
                <w:sz w:val="20"/>
              </w:rPr>
            </w:pPr>
          </w:p>
          <w:p w14:paraId="61ADBCB2" w14:textId="77777777" w:rsidR="000A51E5" w:rsidRDefault="002D403E">
            <w:pPr>
              <w:pStyle w:val="TableParagraph"/>
              <w:ind w:left="154" w:right="146" w:hanging="3"/>
              <w:jc w:val="center"/>
              <w:rPr>
                <w:sz w:val="24"/>
              </w:rPr>
            </w:pPr>
            <w:r>
              <w:rPr>
                <w:color w:val="0000FF"/>
                <w:sz w:val="24"/>
              </w:rPr>
              <w:t>More information needed</w:t>
            </w:r>
          </w:p>
          <w:p w14:paraId="612CDD11" w14:textId="77777777" w:rsidR="000A51E5" w:rsidRDefault="000A51E5">
            <w:pPr>
              <w:pStyle w:val="TableParagraph"/>
              <w:ind w:left="0"/>
              <w:rPr>
                <w:sz w:val="24"/>
              </w:rPr>
            </w:pPr>
          </w:p>
          <w:p w14:paraId="1129BE4E" w14:textId="77777777" w:rsidR="000A51E5" w:rsidRDefault="002D403E">
            <w:pPr>
              <w:pStyle w:val="TableParagraph"/>
              <w:spacing w:before="1"/>
              <w:ind w:left="154" w:right="146" w:hanging="3"/>
              <w:jc w:val="center"/>
              <w:rPr>
                <w:sz w:val="24"/>
              </w:rPr>
            </w:pPr>
            <w:r>
              <w:rPr>
                <w:color w:val="00AF50"/>
                <w:sz w:val="24"/>
              </w:rPr>
              <w:t>More information needed</w:t>
            </w:r>
          </w:p>
        </w:tc>
        <w:tc>
          <w:tcPr>
            <w:tcW w:w="8108" w:type="dxa"/>
          </w:tcPr>
          <w:p w14:paraId="097663BF" w14:textId="77777777" w:rsidR="000A51E5" w:rsidRDefault="002D403E">
            <w:pPr>
              <w:pStyle w:val="TableParagraph"/>
              <w:spacing w:before="2" w:line="292" w:lineRule="exact"/>
              <w:rPr>
                <w:b/>
                <w:sz w:val="24"/>
              </w:rPr>
            </w:pPr>
            <w:r>
              <w:rPr>
                <w:b/>
                <w:sz w:val="24"/>
              </w:rPr>
              <w:t>1: Program Design</w:t>
            </w:r>
          </w:p>
          <w:p w14:paraId="1DDD4CB6" w14:textId="77777777" w:rsidR="000A51E5" w:rsidRDefault="002D403E">
            <w:pPr>
              <w:pStyle w:val="TableParagraph"/>
              <w:spacing w:line="292" w:lineRule="exact"/>
              <w:rPr>
                <w:b/>
                <w:i/>
                <w:sz w:val="24"/>
              </w:rPr>
            </w:pPr>
            <w:r>
              <w:rPr>
                <w:b/>
                <w:i/>
                <w:sz w:val="24"/>
              </w:rPr>
              <w:t>Questions, Comments, Additional Information Needed:</w:t>
            </w:r>
          </w:p>
          <w:p w14:paraId="4DD4B00B" w14:textId="77777777" w:rsidR="000A51E5" w:rsidRDefault="002D403E">
            <w:pPr>
              <w:pStyle w:val="TableParagraph"/>
              <w:spacing w:before="1"/>
              <w:ind w:right="333"/>
              <w:rPr>
                <w:i/>
                <w:sz w:val="23"/>
              </w:rPr>
            </w:pPr>
            <w:r>
              <w:rPr>
                <w:i/>
                <w:sz w:val="23"/>
              </w:rPr>
              <w:t>The design of the professional bilingual teacher preparation program follows from an explicit statement of program philosophy and purpose and is coordinated effectively in accordance with a cohesive design that has a cogent rationale.</w:t>
            </w:r>
          </w:p>
          <w:p w14:paraId="73726C3C" w14:textId="77777777" w:rsidR="000A51E5" w:rsidRDefault="002D403E">
            <w:pPr>
              <w:pStyle w:val="TableParagraph"/>
              <w:rPr>
                <w:sz w:val="24"/>
              </w:rPr>
            </w:pPr>
            <w:r>
              <w:rPr>
                <w:color w:val="0000FF"/>
                <w:sz w:val="24"/>
              </w:rPr>
              <w:t>Standards/Program Matrix (p. 3): two items need attention: 1) unclear what is meant by Master Program Schedule and how it will address all elements of Standard 1 – please link to it if it is a separate document; 2) Standard 6: will competency be determined solely by passing CSET LOTE III? Or in combination with signature assignments? (on p. 11, it looks like only CSETs will establish language competency)</w:t>
            </w:r>
          </w:p>
          <w:p w14:paraId="07AF3CA0" w14:textId="77777777" w:rsidR="000A51E5" w:rsidRDefault="000A51E5">
            <w:pPr>
              <w:pStyle w:val="TableParagraph"/>
              <w:spacing w:before="11"/>
              <w:ind w:left="0"/>
              <w:rPr>
                <w:sz w:val="23"/>
              </w:rPr>
            </w:pPr>
          </w:p>
          <w:p w14:paraId="68B57F4B" w14:textId="77777777" w:rsidR="000A51E5" w:rsidRDefault="002D403E">
            <w:pPr>
              <w:pStyle w:val="TableParagraph"/>
              <w:ind w:right="169"/>
              <w:rPr>
                <w:i/>
                <w:sz w:val="23"/>
              </w:rPr>
            </w:pPr>
            <w:r>
              <w:rPr>
                <w:i/>
                <w:sz w:val="23"/>
              </w:rPr>
              <w:t>The program philosophy articulates a clear understanding of the instructional needs of learners in bilingual settings.</w:t>
            </w:r>
          </w:p>
          <w:p w14:paraId="15E150CB" w14:textId="77777777" w:rsidR="000A51E5" w:rsidRDefault="002D403E">
            <w:pPr>
              <w:pStyle w:val="TableParagraph"/>
              <w:spacing w:before="1"/>
              <w:ind w:right="85"/>
              <w:rPr>
                <w:sz w:val="24"/>
              </w:rPr>
            </w:pPr>
            <w:r>
              <w:rPr>
                <w:color w:val="0000FF"/>
                <w:sz w:val="24"/>
              </w:rPr>
              <w:t>Unclear how the program philosophy articulates a clear understanding of the instructional needs of learners in bilingual settings; for instance, for what models of bilingual education will the program prepare its students?</w:t>
            </w:r>
          </w:p>
          <w:p w14:paraId="7FE5287A" w14:textId="77777777" w:rsidR="000A51E5" w:rsidRDefault="000A51E5">
            <w:pPr>
              <w:pStyle w:val="TableParagraph"/>
              <w:spacing w:before="1"/>
              <w:ind w:left="0"/>
              <w:rPr>
                <w:sz w:val="24"/>
              </w:rPr>
            </w:pPr>
          </w:p>
          <w:p w14:paraId="154EBB05" w14:textId="77777777" w:rsidR="000A51E5" w:rsidRDefault="002D403E">
            <w:pPr>
              <w:pStyle w:val="TableParagraph"/>
              <w:ind w:right="477"/>
              <w:rPr>
                <w:i/>
                <w:sz w:val="23"/>
              </w:rPr>
            </w:pPr>
            <w:r>
              <w:rPr>
                <w:i/>
                <w:sz w:val="23"/>
              </w:rPr>
              <w:t>The program has a leadership team whose members are qualified in the areas of teacher preparation and bilingual instruction.</w:t>
            </w:r>
          </w:p>
          <w:p w14:paraId="08697B79" w14:textId="77777777" w:rsidR="000A51E5" w:rsidRDefault="002D403E">
            <w:pPr>
              <w:pStyle w:val="TableParagraph"/>
              <w:rPr>
                <w:sz w:val="24"/>
              </w:rPr>
            </w:pPr>
            <w:r>
              <w:rPr>
                <w:color w:val="0000FF"/>
                <w:sz w:val="24"/>
              </w:rPr>
              <w:t>Provide evidence of qualifications in the area of bilingual education. Provide job description for hiring faculty/admin for the program.</w:t>
            </w:r>
          </w:p>
        </w:tc>
      </w:tr>
    </w:tbl>
    <w:p w14:paraId="47841406" w14:textId="77777777" w:rsidR="000A51E5" w:rsidRDefault="000A51E5">
      <w:pPr>
        <w:rPr>
          <w:sz w:val="24"/>
        </w:rPr>
        <w:sectPr w:rsidR="000A51E5">
          <w:type w:val="continuous"/>
          <w:pgSz w:w="12240" w:h="15840"/>
          <w:pgMar w:top="1420" w:right="1220" w:bottom="280" w:left="12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8108"/>
      </w:tblGrid>
      <w:tr w:rsidR="000A51E5" w14:paraId="6B4CD900" w14:textId="77777777">
        <w:trPr>
          <w:trHeight w:val="294"/>
        </w:trPr>
        <w:tc>
          <w:tcPr>
            <w:tcW w:w="1476" w:type="dxa"/>
          </w:tcPr>
          <w:p w14:paraId="31010332" w14:textId="77777777" w:rsidR="000A51E5" w:rsidRDefault="002D403E">
            <w:pPr>
              <w:pStyle w:val="TableParagraph"/>
              <w:spacing w:before="2" w:line="272" w:lineRule="exact"/>
              <w:ind w:left="422"/>
              <w:rPr>
                <w:b/>
                <w:sz w:val="24"/>
              </w:rPr>
            </w:pPr>
            <w:r>
              <w:rPr>
                <w:b/>
                <w:sz w:val="24"/>
              </w:rPr>
              <w:lastRenderedPageBreak/>
              <w:t>Status</w:t>
            </w:r>
          </w:p>
        </w:tc>
        <w:tc>
          <w:tcPr>
            <w:tcW w:w="8108" w:type="dxa"/>
          </w:tcPr>
          <w:p w14:paraId="0EE466EA" w14:textId="77777777" w:rsidR="000A51E5" w:rsidRDefault="002D403E">
            <w:pPr>
              <w:pStyle w:val="TableParagraph"/>
              <w:spacing w:before="2" w:line="272" w:lineRule="exact"/>
              <w:ind w:left="3578" w:right="3574"/>
              <w:jc w:val="center"/>
              <w:rPr>
                <w:b/>
                <w:sz w:val="24"/>
              </w:rPr>
            </w:pPr>
            <w:r>
              <w:rPr>
                <w:b/>
                <w:sz w:val="24"/>
              </w:rPr>
              <w:t>Standard</w:t>
            </w:r>
          </w:p>
        </w:tc>
      </w:tr>
      <w:tr w:rsidR="000A51E5" w14:paraId="3F286505" w14:textId="77777777">
        <w:trPr>
          <w:trHeight w:val="7773"/>
        </w:trPr>
        <w:tc>
          <w:tcPr>
            <w:tcW w:w="1476" w:type="dxa"/>
          </w:tcPr>
          <w:p w14:paraId="7E2DC577" w14:textId="77777777" w:rsidR="000A51E5" w:rsidRDefault="000A51E5">
            <w:pPr>
              <w:pStyle w:val="TableParagraph"/>
              <w:ind w:left="0"/>
              <w:rPr>
                <w:rFonts w:ascii="Times New Roman"/>
              </w:rPr>
            </w:pPr>
          </w:p>
        </w:tc>
        <w:tc>
          <w:tcPr>
            <w:tcW w:w="8108" w:type="dxa"/>
          </w:tcPr>
          <w:p w14:paraId="3CFD58CC" w14:textId="77777777" w:rsidR="000A51E5" w:rsidRDefault="002D403E">
            <w:pPr>
              <w:pStyle w:val="TableParagraph"/>
              <w:ind w:right="166"/>
              <w:rPr>
                <w:i/>
                <w:sz w:val="23"/>
              </w:rPr>
            </w:pPr>
            <w:r>
              <w:rPr>
                <w:i/>
                <w:sz w:val="23"/>
              </w:rPr>
              <w:t>The program demonstrates initial and ongoing collaboration with local school districts in order to reflect the needs of teachers serving in bilingual programs at the local and state level.</w:t>
            </w:r>
          </w:p>
          <w:p w14:paraId="5E44599B" w14:textId="77777777" w:rsidR="000A51E5" w:rsidRDefault="002D403E">
            <w:pPr>
              <w:pStyle w:val="TableParagraph"/>
              <w:ind w:left="107" w:right="100"/>
              <w:rPr>
                <w:sz w:val="24"/>
              </w:rPr>
            </w:pPr>
            <w:r>
              <w:rPr>
                <w:color w:val="0000FF"/>
                <w:sz w:val="24"/>
              </w:rPr>
              <w:t>Provide evidence of initial and ongoing collaboration with local school districts in order to reflect the needs…</w:t>
            </w:r>
          </w:p>
          <w:p w14:paraId="7F2E84CB" w14:textId="77777777" w:rsidR="000A51E5" w:rsidRDefault="000A51E5">
            <w:pPr>
              <w:pStyle w:val="TableParagraph"/>
              <w:spacing w:before="2"/>
              <w:ind w:left="0"/>
              <w:rPr>
                <w:sz w:val="24"/>
              </w:rPr>
            </w:pPr>
          </w:p>
          <w:p w14:paraId="36A958C2" w14:textId="77777777" w:rsidR="000A51E5" w:rsidRDefault="002D403E">
            <w:pPr>
              <w:pStyle w:val="TableParagraph"/>
              <w:spacing w:before="1"/>
              <w:ind w:right="303"/>
              <w:rPr>
                <w:i/>
                <w:sz w:val="23"/>
              </w:rPr>
            </w:pPr>
            <w:r>
              <w:rPr>
                <w:i/>
                <w:sz w:val="23"/>
              </w:rPr>
              <w:t>The program shows candidates how to help learners to access the K-12 grade level content instruction and how to provide benchmarks of English Learners’ progress toward meeting standards as defined in the California Curriculum Frameworks (2006).</w:t>
            </w:r>
          </w:p>
          <w:p w14:paraId="19BECB71" w14:textId="77777777" w:rsidR="000A51E5" w:rsidRDefault="002D403E">
            <w:pPr>
              <w:pStyle w:val="TableParagraph"/>
              <w:spacing w:line="288" w:lineRule="exact"/>
              <w:rPr>
                <w:sz w:val="24"/>
              </w:rPr>
            </w:pPr>
            <w:r>
              <w:rPr>
                <w:color w:val="0000FF"/>
                <w:sz w:val="24"/>
              </w:rPr>
              <w:t>Please link to specific material in courses that helps students meet standards.</w:t>
            </w:r>
          </w:p>
          <w:p w14:paraId="478F7409" w14:textId="77777777" w:rsidR="000A51E5" w:rsidRDefault="000A51E5">
            <w:pPr>
              <w:pStyle w:val="TableParagraph"/>
              <w:spacing w:before="3"/>
              <w:ind w:left="0"/>
              <w:rPr>
                <w:sz w:val="24"/>
              </w:rPr>
            </w:pPr>
          </w:p>
          <w:p w14:paraId="656349C5" w14:textId="77777777" w:rsidR="000A51E5" w:rsidRDefault="002D403E">
            <w:pPr>
              <w:pStyle w:val="TableParagraph"/>
              <w:ind w:right="851"/>
              <w:rPr>
                <w:i/>
                <w:sz w:val="23"/>
              </w:rPr>
            </w:pPr>
            <w:r>
              <w:rPr>
                <w:i/>
                <w:sz w:val="23"/>
              </w:rPr>
              <w:t>The design of the program clearly indicates the options for completion of the program in a concurrent model and/or as a post-credential model.</w:t>
            </w:r>
          </w:p>
          <w:p w14:paraId="2D11F5DD" w14:textId="77777777" w:rsidR="000A51E5" w:rsidRDefault="002D403E">
            <w:pPr>
              <w:pStyle w:val="TableParagraph"/>
              <w:ind w:right="441"/>
              <w:rPr>
                <w:sz w:val="24"/>
              </w:rPr>
            </w:pPr>
            <w:r>
              <w:rPr>
                <w:color w:val="0000FF"/>
                <w:sz w:val="24"/>
              </w:rPr>
              <w:t xml:space="preserve">Please provide a course sequence and options for completion including concurrently, post-credential, through coursework, through a combination of coursework and exam. Content </w:t>
            </w:r>
            <w:proofErr w:type="gramStart"/>
            <w:r>
              <w:rPr>
                <w:color w:val="0000FF"/>
                <w:sz w:val="24"/>
              </w:rPr>
              <w:t>you’ve</w:t>
            </w:r>
            <w:proofErr w:type="gramEnd"/>
            <w:r>
              <w:rPr>
                <w:color w:val="0000FF"/>
                <w:sz w:val="24"/>
              </w:rPr>
              <w:t xml:space="preserve"> included relates more directly to Standard 6 than Standard 1.</w:t>
            </w:r>
          </w:p>
          <w:p w14:paraId="2511FD52" w14:textId="77777777" w:rsidR="000A51E5" w:rsidRDefault="000A51E5">
            <w:pPr>
              <w:pStyle w:val="TableParagraph"/>
              <w:spacing w:before="8"/>
              <w:ind w:left="0"/>
              <w:rPr>
                <w:sz w:val="23"/>
              </w:rPr>
            </w:pPr>
          </w:p>
          <w:p w14:paraId="3E300B0E" w14:textId="1D6622EC" w:rsidR="000A51E5" w:rsidRDefault="002D403E">
            <w:pPr>
              <w:pStyle w:val="TableParagraph"/>
              <w:spacing w:before="1"/>
              <w:ind w:left="107" w:right="209"/>
              <w:rPr>
                <w:color w:val="00AF50"/>
                <w:sz w:val="24"/>
              </w:rPr>
            </w:pPr>
            <w:r>
              <w:rPr>
                <w:color w:val="00AF50"/>
                <w:sz w:val="24"/>
              </w:rPr>
              <w:t>Response included Master Plan of Study for concurrent credential students, but not for post-credential students. Clarify for post-credential candidates, will the program be offered post-credential?</w:t>
            </w:r>
          </w:p>
          <w:p w14:paraId="0151034D" w14:textId="7FEE6EB1" w:rsidR="00A26A33" w:rsidRPr="00A26A33" w:rsidRDefault="00A26A33" w:rsidP="00A26A33">
            <w:pPr>
              <w:pStyle w:val="TableParagraph"/>
              <w:spacing w:before="1"/>
              <w:ind w:left="107" w:right="209"/>
              <w:rPr>
                <w:color w:val="7030A0"/>
                <w:sz w:val="24"/>
              </w:rPr>
            </w:pPr>
            <w:r w:rsidRPr="00A26A33">
              <w:rPr>
                <w:color w:val="7030A0"/>
                <w:sz w:val="24"/>
              </w:rPr>
              <w:t>Candidates who have been accepted into an Alliant teacher credentialing program and wi</w:t>
            </w:r>
            <w:r>
              <w:rPr>
                <w:color w:val="7030A0"/>
                <w:sz w:val="24"/>
              </w:rPr>
              <w:t>sh</w:t>
            </w:r>
            <w:r w:rsidRPr="00A26A33">
              <w:rPr>
                <w:color w:val="7030A0"/>
                <w:sz w:val="24"/>
              </w:rPr>
              <w:t xml:space="preserve"> to concurrently enroll in the bilingual authorization program must pass the CSET</w:t>
            </w:r>
            <w:r>
              <w:rPr>
                <w:color w:val="7030A0"/>
                <w:sz w:val="24"/>
              </w:rPr>
              <w:t xml:space="preserve"> </w:t>
            </w:r>
            <w:r w:rsidRPr="00A26A33">
              <w:rPr>
                <w:color w:val="7030A0"/>
                <w:sz w:val="24"/>
              </w:rPr>
              <w:t>examination prior to being enrolled in the first bilingual authorization course</w:t>
            </w:r>
            <w:r>
              <w:rPr>
                <w:color w:val="7030A0"/>
                <w:sz w:val="24"/>
              </w:rPr>
              <w:t>.</w:t>
            </w:r>
          </w:p>
          <w:p w14:paraId="1BF8586C" w14:textId="77777777" w:rsidR="00A26A33" w:rsidRPr="00A26A33" w:rsidRDefault="00A26A33" w:rsidP="00A26A33">
            <w:pPr>
              <w:pStyle w:val="TableParagraph"/>
              <w:spacing w:before="1"/>
              <w:ind w:left="107" w:right="209"/>
              <w:rPr>
                <w:color w:val="7030A0"/>
                <w:sz w:val="24"/>
              </w:rPr>
            </w:pPr>
          </w:p>
          <w:p w14:paraId="2164EA99" w14:textId="4EF08FED" w:rsidR="00A26A33" w:rsidRDefault="00A26A33" w:rsidP="00A26A33">
            <w:pPr>
              <w:pStyle w:val="TableParagraph"/>
              <w:spacing w:before="1"/>
              <w:ind w:left="107" w:right="209"/>
              <w:rPr>
                <w:color w:val="7030A0"/>
                <w:sz w:val="24"/>
              </w:rPr>
            </w:pPr>
            <w:r>
              <w:rPr>
                <w:color w:val="7030A0"/>
                <w:sz w:val="24"/>
              </w:rPr>
              <w:t xml:space="preserve">Post-Credential </w:t>
            </w:r>
            <w:r w:rsidRPr="00A26A33">
              <w:rPr>
                <w:color w:val="7030A0"/>
                <w:sz w:val="24"/>
              </w:rPr>
              <w:t>Candidates who are taking the Alliant bilingual authorization will be required to pass the CSET</w:t>
            </w:r>
            <w:r>
              <w:rPr>
                <w:color w:val="7030A0"/>
                <w:sz w:val="24"/>
              </w:rPr>
              <w:t xml:space="preserve"> and complete two courses that include a rigorous clinical practice component. </w:t>
            </w:r>
            <w:r w:rsidRPr="00A26A33">
              <w:rPr>
                <w:color w:val="7030A0"/>
                <w:sz w:val="24"/>
              </w:rPr>
              <w:t xml:space="preserve"> </w:t>
            </w:r>
          </w:p>
          <w:p w14:paraId="7DCE5AF9" w14:textId="70850787" w:rsidR="00F66847" w:rsidRDefault="00F66847" w:rsidP="00A26A33">
            <w:pPr>
              <w:pStyle w:val="TableParagraph"/>
              <w:spacing w:before="1"/>
              <w:ind w:left="107" w:right="209"/>
              <w:rPr>
                <w:color w:val="7030A0"/>
                <w:sz w:val="24"/>
              </w:rPr>
            </w:pPr>
          </w:p>
          <w:p w14:paraId="3A7EB6A9" w14:textId="0E55D7C2" w:rsidR="00F66847" w:rsidRPr="00A26A33" w:rsidRDefault="00F66847" w:rsidP="00A26A33">
            <w:pPr>
              <w:pStyle w:val="TableParagraph"/>
              <w:spacing w:before="1"/>
              <w:ind w:left="107" w:right="209"/>
              <w:rPr>
                <w:color w:val="7030A0"/>
                <w:sz w:val="24"/>
              </w:rPr>
            </w:pPr>
            <w:r w:rsidRPr="002111C2">
              <w:rPr>
                <w:color w:val="7030A0"/>
                <w:sz w:val="24"/>
              </w:rPr>
              <w:t xml:space="preserve">See </w:t>
            </w:r>
            <w:hyperlink r:id="rId6" w:history="1">
              <w:r w:rsidRPr="002111C2">
                <w:rPr>
                  <w:rStyle w:val="Hyperlink"/>
                  <w:sz w:val="24"/>
                </w:rPr>
                <w:t>Post-Credential Master Plan of Study</w:t>
              </w:r>
            </w:hyperlink>
            <w:r>
              <w:rPr>
                <w:color w:val="7030A0"/>
                <w:sz w:val="24"/>
              </w:rPr>
              <w:t xml:space="preserve"> </w:t>
            </w:r>
            <w:r w:rsidR="00A71C59">
              <w:rPr>
                <w:color w:val="7030A0"/>
                <w:sz w:val="24"/>
              </w:rPr>
              <w:t xml:space="preserve">&amp; </w:t>
            </w:r>
            <w:r w:rsidR="00A71C59" w:rsidRPr="00DD1ED2">
              <w:rPr>
                <w:color w:val="FF0000"/>
                <w:sz w:val="24"/>
              </w:rPr>
              <w:t>Candidate Handbook</w:t>
            </w:r>
            <w:r w:rsidR="00DD1ED2" w:rsidRPr="00DD1ED2">
              <w:rPr>
                <w:color w:val="FF0000"/>
                <w:sz w:val="24"/>
              </w:rPr>
              <w:t xml:space="preserve"> </w:t>
            </w:r>
            <w:hyperlink r:id="rId7" w:history="1">
              <w:r w:rsidR="00DD1ED2" w:rsidRPr="00DD1ED2">
                <w:rPr>
                  <w:rStyle w:val="Hyperlink"/>
                  <w:color w:val="FF0000"/>
                  <w:sz w:val="24"/>
                </w:rPr>
                <w:t>lin</w:t>
              </w:r>
              <w:r w:rsidR="00DD1ED2" w:rsidRPr="00DD1ED2">
                <w:rPr>
                  <w:rStyle w:val="Hyperlink"/>
                  <w:color w:val="FF0000"/>
                  <w:sz w:val="24"/>
                </w:rPr>
                <w:t>k</w:t>
              </w:r>
            </w:hyperlink>
            <w:r w:rsidR="00A71C59" w:rsidRPr="00DD1ED2">
              <w:rPr>
                <w:color w:val="FF0000"/>
                <w:sz w:val="24"/>
              </w:rPr>
              <w:t xml:space="preserve"> (pg. </w:t>
            </w:r>
            <w:r w:rsidR="00DD1ED2" w:rsidRPr="00DD1ED2">
              <w:rPr>
                <w:color w:val="FF0000"/>
                <w:sz w:val="24"/>
              </w:rPr>
              <w:t>11</w:t>
            </w:r>
            <w:r w:rsidR="00A71C59" w:rsidRPr="00DD1ED2">
              <w:rPr>
                <w:color w:val="FF0000"/>
                <w:sz w:val="24"/>
              </w:rPr>
              <w:t xml:space="preserve">) </w:t>
            </w:r>
            <w:r w:rsidR="00A71C59">
              <w:rPr>
                <w:color w:val="7030A0"/>
                <w:sz w:val="24"/>
              </w:rPr>
              <w:t xml:space="preserve">&amp; </w:t>
            </w:r>
            <w:hyperlink r:id="rId8" w:history="1">
              <w:r w:rsidR="00A71C59" w:rsidRPr="00A71C59">
                <w:rPr>
                  <w:rStyle w:val="Hyperlink"/>
                  <w:sz w:val="24"/>
                </w:rPr>
                <w:t>Orientation</w:t>
              </w:r>
            </w:hyperlink>
            <w:r w:rsidR="00A71C59">
              <w:rPr>
                <w:color w:val="7030A0"/>
                <w:sz w:val="24"/>
              </w:rPr>
              <w:t xml:space="preserve"> </w:t>
            </w:r>
          </w:p>
          <w:p w14:paraId="5424F0E0" w14:textId="77777777" w:rsidR="000A51E5" w:rsidRDefault="000A51E5">
            <w:pPr>
              <w:pStyle w:val="TableParagraph"/>
              <w:spacing w:before="1"/>
              <w:ind w:left="0"/>
              <w:rPr>
                <w:sz w:val="24"/>
              </w:rPr>
            </w:pPr>
          </w:p>
          <w:p w14:paraId="2839A495" w14:textId="77777777" w:rsidR="000A51E5" w:rsidRDefault="002D403E">
            <w:pPr>
              <w:pStyle w:val="TableParagraph"/>
              <w:spacing w:line="242" w:lineRule="auto"/>
              <w:ind w:left="107" w:right="568"/>
              <w:rPr>
                <w:i/>
                <w:sz w:val="23"/>
              </w:rPr>
            </w:pPr>
            <w:r>
              <w:rPr>
                <w:i/>
                <w:sz w:val="23"/>
              </w:rPr>
              <w:t>The curriculum is designed around the Knowledge, Skills, and Abilities (KSAs) for Bilingual Methodology and Culture.</w:t>
            </w:r>
          </w:p>
          <w:p w14:paraId="466BAE7D" w14:textId="77777777" w:rsidR="000A51E5" w:rsidRDefault="002D403E">
            <w:pPr>
              <w:pStyle w:val="TableParagraph"/>
              <w:spacing w:line="288" w:lineRule="exact"/>
              <w:rPr>
                <w:sz w:val="24"/>
              </w:rPr>
            </w:pPr>
            <w:r>
              <w:rPr>
                <w:color w:val="0000FF"/>
                <w:sz w:val="24"/>
              </w:rPr>
              <w:t>Link to signature assignments goes to admissions requirements</w:t>
            </w:r>
          </w:p>
          <w:p w14:paraId="2C11BA64" w14:textId="79C54CDD" w:rsidR="000A51E5" w:rsidRDefault="002D403E">
            <w:pPr>
              <w:pStyle w:val="TableParagraph"/>
              <w:spacing w:line="271" w:lineRule="exact"/>
              <w:rPr>
                <w:sz w:val="24"/>
              </w:rPr>
            </w:pPr>
            <w:r>
              <w:rPr>
                <w:color w:val="0000FF"/>
                <w:sz w:val="24"/>
              </w:rPr>
              <w:t xml:space="preserve">Bilingual methodology and culture </w:t>
            </w:r>
            <w:proofErr w:type="gramStart"/>
            <w:r>
              <w:rPr>
                <w:color w:val="0000FF"/>
                <w:sz w:val="24"/>
              </w:rPr>
              <w:t>is</w:t>
            </w:r>
            <w:proofErr w:type="gramEnd"/>
            <w:r>
              <w:rPr>
                <w:color w:val="0000FF"/>
                <w:sz w:val="24"/>
              </w:rPr>
              <w:t xml:space="preserve"> addressed in </w:t>
            </w:r>
            <w:r w:rsidRPr="00DD1ED2">
              <w:rPr>
                <w:color w:val="FF0000"/>
                <w:sz w:val="24"/>
              </w:rPr>
              <w:t>BLA 6410</w:t>
            </w:r>
            <w:r w:rsidR="00DD1ED2" w:rsidRPr="00DD1ED2">
              <w:rPr>
                <w:color w:val="FF0000"/>
                <w:sz w:val="24"/>
              </w:rPr>
              <w:t>0</w:t>
            </w:r>
          </w:p>
        </w:tc>
      </w:tr>
      <w:tr w:rsidR="000A51E5" w14:paraId="0E97533A" w14:textId="77777777">
        <w:trPr>
          <w:trHeight w:val="4321"/>
        </w:trPr>
        <w:tc>
          <w:tcPr>
            <w:tcW w:w="1476" w:type="dxa"/>
          </w:tcPr>
          <w:p w14:paraId="0BB850BA" w14:textId="77777777" w:rsidR="000A51E5" w:rsidRDefault="000A51E5">
            <w:pPr>
              <w:pStyle w:val="TableParagraph"/>
              <w:ind w:left="0"/>
              <w:rPr>
                <w:sz w:val="24"/>
              </w:rPr>
            </w:pPr>
          </w:p>
          <w:p w14:paraId="38FDB63A" w14:textId="77777777" w:rsidR="000A51E5" w:rsidRDefault="000A51E5">
            <w:pPr>
              <w:pStyle w:val="TableParagraph"/>
              <w:ind w:left="0"/>
              <w:rPr>
                <w:sz w:val="24"/>
              </w:rPr>
            </w:pPr>
          </w:p>
          <w:p w14:paraId="7844B3EC" w14:textId="77777777" w:rsidR="000A51E5" w:rsidRDefault="000A51E5">
            <w:pPr>
              <w:pStyle w:val="TableParagraph"/>
              <w:ind w:left="0"/>
              <w:rPr>
                <w:sz w:val="24"/>
              </w:rPr>
            </w:pPr>
          </w:p>
          <w:p w14:paraId="7EB7514D" w14:textId="77777777" w:rsidR="000A51E5" w:rsidRDefault="000A51E5">
            <w:pPr>
              <w:pStyle w:val="TableParagraph"/>
              <w:spacing w:before="3"/>
              <w:ind w:left="0"/>
              <w:rPr>
                <w:sz w:val="21"/>
              </w:rPr>
            </w:pPr>
          </w:p>
          <w:p w14:paraId="59B6FED1" w14:textId="77777777" w:rsidR="000A51E5" w:rsidRDefault="002D403E">
            <w:pPr>
              <w:pStyle w:val="TableParagraph"/>
              <w:ind w:left="154" w:right="146" w:hanging="3"/>
              <w:jc w:val="center"/>
              <w:rPr>
                <w:sz w:val="24"/>
              </w:rPr>
            </w:pPr>
            <w:r>
              <w:rPr>
                <w:color w:val="0000FF"/>
                <w:sz w:val="24"/>
              </w:rPr>
              <w:t>More information needed</w:t>
            </w:r>
          </w:p>
          <w:p w14:paraId="5C5A7DE7" w14:textId="77777777" w:rsidR="000A51E5" w:rsidRDefault="000A51E5">
            <w:pPr>
              <w:pStyle w:val="TableParagraph"/>
              <w:spacing w:before="8"/>
              <w:ind w:left="0"/>
              <w:rPr>
                <w:sz w:val="23"/>
              </w:rPr>
            </w:pPr>
          </w:p>
          <w:p w14:paraId="169CE8ED" w14:textId="77777777" w:rsidR="000A51E5" w:rsidRDefault="002D403E">
            <w:pPr>
              <w:pStyle w:val="TableParagraph"/>
              <w:spacing w:before="1"/>
              <w:ind w:left="154" w:right="146" w:hanging="3"/>
              <w:jc w:val="center"/>
              <w:rPr>
                <w:sz w:val="24"/>
              </w:rPr>
            </w:pPr>
            <w:r>
              <w:rPr>
                <w:color w:val="00AF50"/>
                <w:sz w:val="24"/>
              </w:rPr>
              <w:t>More information needed</w:t>
            </w:r>
          </w:p>
        </w:tc>
        <w:tc>
          <w:tcPr>
            <w:tcW w:w="8108" w:type="dxa"/>
          </w:tcPr>
          <w:p w14:paraId="1CA0960E" w14:textId="77777777" w:rsidR="000A51E5" w:rsidRDefault="002D403E">
            <w:pPr>
              <w:pStyle w:val="TableParagraph"/>
              <w:spacing w:before="2" w:line="292" w:lineRule="exact"/>
              <w:rPr>
                <w:sz w:val="24"/>
              </w:rPr>
            </w:pPr>
            <w:r>
              <w:rPr>
                <w:sz w:val="24"/>
              </w:rPr>
              <w:t>2: Assessment of Candidate Competence</w:t>
            </w:r>
          </w:p>
          <w:p w14:paraId="57A95546" w14:textId="77777777" w:rsidR="000A51E5" w:rsidRDefault="002D403E">
            <w:pPr>
              <w:pStyle w:val="TableParagraph"/>
              <w:spacing w:line="292" w:lineRule="exact"/>
              <w:rPr>
                <w:b/>
                <w:i/>
                <w:sz w:val="24"/>
              </w:rPr>
            </w:pPr>
            <w:r>
              <w:rPr>
                <w:b/>
                <w:i/>
                <w:sz w:val="24"/>
              </w:rPr>
              <w:t>Questions, Comments, Additional Information Needed:</w:t>
            </w:r>
          </w:p>
          <w:p w14:paraId="1639557E" w14:textId="77777777" w:rsidR="000A51E5" w:rsidRDefault="002D403E">
            <w:pPr>
              <w:pStyle w:val="TableParagraph"/>
              <w:ind w:right="584"/>
              <w:rPr>
                <w:i/>
                <w:sz w:val="24"/>
              </w:rPr>
            </w:pPr>
            <w:r>
              <w:rPr>
                <w:i/>
                <w:sz w:val="24"/>
              </w:rPr>
              <w:t>Verification of candidate’s performance is provided by both institutional and field-based individuals with bilingual expertise and/or possessing bilingual authorization:</w:t>
            </w:r>
          </w:p>
          <w:p w14:paraId="30918E4D" w14:textId="77777777" w:rsidR="000A51E5" w:rsidRDefault="002D403E">
            <w:pPr>
              <w:pStyle w:val="TableParagraph"/>
              <w:spacing w:before="1"/>
              <w:ind w:left="107" w:right="588"/>
              <w:rPr>
                <w:sz w:val="24"/>
              </w:rPr>
            </w:pPr>
            <w:r>
              <w:rPr>
                <w:color w:val="0000FF"/>
                <w:sz w:val="24"/>
              </w:rPr>
              <w:t>Provide explanation of how the school site principal or the district Human Resources Office or bilingual administrator will document the validation the credentials of the field observer.</w:t>
            </w:r>
          </w:p>
          <w:p w14:paraId="5B0CFD68" w14:textId="77777777" w:rsidR="000A51E5" w:rsidRDefault="000A51E5">
            <w:pPr>
              <w:pStyle w:val="TableParagraph"/>
              <w:spacing w:before="1"/>
              <w:ind w:left="0"/>
              <w:rPr>
                <w:sz w:val="24"/>
              </w:rPr>
            </w:pPr>
          </w:p>
          <w:p w14:paraId="1C626C07" w14:textId="77777777" w:rsidR="000A51E5" w:rsidRDefault="002D403E">
            <w:pPr>
              <w:pStyle w:val="TableParagraph"/>
              <w:ind w:right="467"/>
              <w:rPr>
                <w:i/>
                <w:sz w:val="23"/>
              </w:rPr>
            </w:pPr>
            <w:r>
              <w:rPr>
                <w:i/>
                <w:sz w:val="23"/>
              </w:rPr>
              <w:t>During the program, candidates are guided and coached on their performance in bilingual instruction using formative assessment processes.</w:t>
            </w:r>
          </w:p>
          <w:p w14:paraId="06D71BF1" w14:textId="77777777" w:rsidR="000A51E5" w:rsidRDefault="002D403E">
            <w:pPr>
              <w:pStyle w:val="TableParagraph"/>
              <w:spacing w:line="279" w:lineRule="exact"/>
              <w:rPr>
                <w:sz w:val="23"/>
              </w:rPr>
            </w:pPr>
            <w:r>
              <w:rPr>
                <w:color w:val="0000FF"/>
                <w:sz w:val="23"/>
              </w:rPr>
              <w:t>Please link to CTC Course Matrix</w:t>
            </w:r>
          </w:p>
          <w:p w14:paraId="7211AA3B" w14:textId="77777777" w:rsidR="000A51E5" w:rsidRDefault="002D403E">
            <w:pPr>
              <w:pStyle w:val="TableParagraph"/>
              <w:spacing w:line="242" w:lineRule="auto"/>
              <w:ind w:right="261"/>
              <w:rPr>
                <w:color w:val="00AF50"/>
                <w:sz w:val="23"/>
              </w:rPr>
            </w:pPr>
            <w:r>
              <w:rPr>
                <w:color w:val="00AF50"/>
                <w:sz w:val="23"/>
              </w:rPr>
              <w:t>Program audit check list is provided – including dates when program requirements are met would be helpful in record keeping.</w:t>
            </w:r>
          </w:p>
          <w:p w14:paraId="21298DBB" w14:textId="77777777" w:rsidR="00A71C59" w:rsidRPr="00A71C59" w:rsidRDefault="00A71C59">
            <w:pPr>
              <w:pStyle w:val="TableParagraph"/>
              <w:spacing w:line="242" w:lineRule="auto"/>
              <w:ind w:right="261"/>
              <w:rPr>
                <w:b/>
                <w:bCs/>
                <w:color w:val="7030A0"/>
                <w:sz w:val="23"/>
                <w:u w:val="single"/>
              </w:rPr>
            </w:pPr>
            <w:r>
              <w:rPr>
                <w:color w:val="7030A0"/>
                <w:sz w:val="23"/>
              </w:rPr>
              <w:br/>
            </w:r>
            <w:r w:rsidRPr="00A71C59">
              <w:rPr>
                <w:b/>
                <w:bCs/>
                <w:color w:val="7030A0"/>
                <w:sz w:val="23"/>
                <w:u w:val="single"/>
              </w:rPr>
              <w:t>Evidence:</w:t>
            </w:r>
          </w:p>
          <w:p w14:paraId="34AE7694" w14:textId="522F0C55" w:rsidR="00346AAE" w:rsidRDefault="00C11883">
            <w:pPr>
              <w:pStyle w:val="TableParagraph"/>
              <w:spacing w:line="242" w:lineRule="auto"/>
              <w:ind w:right="261"/>
              <w:rPr>
                <w:color w:val="7030A0"/>
                <w:sz w:val="23"/>
              </w:rPr>
            </w:pPr>
            <w:hyperlink r:id="rId9" w:history="1">
              <w:r w:rsidR="00346AAE" w:rsidRPr="002111C2">
                <w:rPr>
                  <w:rStyle w:val="Hyperlink"/>
                  <w:sz w:val="23"/>
                </w:rPr>
                <w:t>color-coded</w:t>
              </w:r>
            </w:hyperlink>
            <w:r w:rsidR="00346AAE" w:rsidRPr="00346AAE">
              <w:rPr>
                <w:color w:val="7030A0"/>
                <w:sz w:val="23"/>
              </w:rPr>
              <w:t xml:space="preserve"> based on benchmark dates within program as reminder to add dates for efficient record keeping. </w:t>
            </w:r>
          </w:p>
          <w:p w14:paraId="0A531309" w14:textId="3FFEDA05" w:rsidR="00A71C59" w:rsidRDefault="00C11883">
            <w:pPr>
              <w:pStyle w:val="TableParagraph"/>
              <w:spacing w:line="242" w:lineRule="auto"/>
              <w:ind w:right="261"/>
              <w:rPr>
                <w:color w:val="7030A0"/>
                <w:sz w:val="23"/>
              </w:rPr>
            </w:pPr>
            <w:hyperlink r:id="rId10" w:history="1">
              <w:r w:rsidR="00A71C59" w:rsidRPr="009A511D">
                <w:rPr>
                  <w:rStyle w:val="Hyperlink"/>
                  <w:sz w:val="23"/>
                </w:rPr>
                <w:t>Audit Checklist</w:t>
              </w:r>
            </w:hyperlink>
          </w:p>
          <w:p w14:paraId="0557A666" w14:textId="1F02ED60" w:rsidR="00A71C59" w:rsidRDefault="00A71C59">
            <w:pPr>
              <w:pStyle w:val="TableParagraph"/>
              <w:spacing w:line="242" w:lineRule="auto"/>
              <w:ind w:right="261"/>
              <w:rPr>
                <w:sz w:val="23"/>
              </w:rPr>
            </w:pPr>
            <w:r w:rsidRPr="00DD1ED2">
              <w:rPr>
                <w:color w:val="FF0000"/>
                <w:sz w:val="23"/>
              </w:rPr>
              <w:t xml:space="preserve">Candidate Handbook </w:t>
            </w:r>
            <w:hyperlink r:id="rId11" w:history="1">
              <w:r w:rsidR="00DD1ED2" w:rsidRPr="00DD1ED2">
                <w:rPr>
                  <w:rStyle w:val="Hyperlink"/>
                  <w:sz w:val="23"/>
                </w:rPr>
                <w:t>link</w:t>
              </w:r>
            </w:hyperlink>
          </w:p>
        </w:tc>
      </w:tr>
    </w:tbl>
    <w:p w14:paraId="5E608613" w14:textId="77777777" w:rsidR="000A51E5" w:rsidRDefault="000A51E5">
      <w:pPr>
        <w:spacing w:line="242" w:lineRule="auto"/>
        <w:rPr>
          <w:sz w:val="23"/>
        </w:rPr>
        <w:sectPr w:rsidR="000A51E5">
          <w:headerReference w:type="default" r:id="rId12"/>
          <w:footerReference w:type="default" r:id="rId13"/>
          <w:pgSz w:w="12240" w:h="15840"/>
          <w:pgMar w:top="1420" w:right="1220" w:bottom="1200" w:left="1220" w:header="768" w:footer="1018" w:gutter="0"/>
          <w:pgNumType w:start="2"/>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8108"/>
      </w:tblGrid>
      <w:tr w:rsidR="000A51E5" w14:paraId="3EB67688" w14:textId="77777777">
        <w:trPr>
          <w:trHeight w:val="294"/>
        </w:trPr>
        <w:tc>
          <w:tcPr>
            <w:tcW w:w="1476" w:type="dxa"/>
          </w:tcPr>
          <w:p w14:paraId="380474F9" w14:textId="77777777" w:rsidR="000A51E5" w:rsidRDefault="002D403E">
            <w:pPr>
              <w:pStyle w:val="TableParagraph"/>
              <w:spacing w:before="2" w:line="272" w:lineRule="exact"/>
              <w:ind w:left="422"/>
              <w:rPr>
                <w:b/>
                <w:sz w:val="24"/>
              </w:rPr>
            </w:pPr>
            <w:r>
              <w:rPr>
                <w:b/>
                <w:sz w:val="24"/>
              </w:rPr>
              <w:lastRenderedPageBreak/>
              <w:t>Status</w:t>
            </w:r>
          </w:p>
        </w:tc>
        <w:tc>
          <w:tcPr>
            <w:tcW w:w="8108" w:type="dxa"/>
          </w:tcPr>
          <w:p w14:paraId="1E0847C8" w14:textId="77777777" w:rsidR="000A51E5" w:rsidRDefault="002D403E">
            <w:pPr>
              <w:pStyle w:val="TableParagraph"/>
              <w:spacing w:before="2" w:line="272" w:lineRule="exact"/>
              <w:ind w:left="3578" w:right="3574"/>
              <w:jc w:val="center"/>
              <w:rPr>
                <w:b/>
                <w:sz w:val="24"/>
              </w:rPr>
            </w:pPr>
            <w:r>
              <w:rPr>
                <w:b/>
                <w:sz w:val="24"/>
              </w:rPr>
              <w:t>Standard</w:t>
            </w:r>
          </w:p>
        </w:tc>
      </w:tr>
      <w:tr w:rsidR="000A51E5" w14:paraId="4B739DB7" w14:textId="77777777">
        <w:trPr>
          <w:trHeight w:val="1109"/>
        </w:trPr>
        <w:tc>
          <w:tcPr>
            <w:tcW w:w="1476" w:type="dxa"/>
          </w:tcPr>
          <w:p w14:paraId="78EE260E" w14:textId="77777777" w:rsidR="000A51E5" w:rsidRDefault="000A51E5">
            <w:pPr>
              <w:pStyle w:val="TableParagraph"/>
              <w:ind w:left="0"/>
              <w:rPr>
                <w:rFonts w:ascii="Times New Roman"/>
              </w:rPr>
            </w:pPr>
          </w:p>
        </w:tc>
        <w:tc>
          <w:tcPr>
            <w:tcW w:w="8108" w:type="dxa"/>
          </w:tcPr>
          <w:p w14:paraId="0B8005BC" w14:textId="77777777" w:rsidR="000A51E5" w:rsidRDefault="002D403E">
            <w:pPr>
              <w:pStyle w:val="TableParagraph"/>
              <w:rPr>
                <w:color w:val="00AF50"/>
              </w:rPr>
            </w:pPr>
            <w:r>
              <w:rPr>
                <w:color w:val="00AF50"/>
                <w:sz w:val="23"/>
              </w:rPr>
              <w:t xml:space="preserve">Documents were provided but </w:t>
            </w:r>
            <w:proofErr w:type="gramStart"/>
            <w:r>
              <w:rPr>
                <w:color w:val="00AF50"/>
                <w:sz w:val="23"/>
              </w:rPr>
              <w:t>d</w:t>
            </w:r>
            <w:r>
              <w:rPr>
                <w:color w:val="00AF50"/>
              </w:rPr>
              <w:t>on't</w:t>
            </w:r>
            <w:proofErr w:type="gramEnd"/>
            <w:r>
              <w:rPr>
                <w:color w:val="00AF50"/>
              </w:rPr>
              <w:t xml:space="preserve"> reveal how fieldwork will be guided and coached specifically for bilingual instruction or for post-credential BILA students, provide how fieldwork will be guided and coached.</w:t>
            </w:r>
          </w:p>
          <w:p w14:paraId="43804D03" w14:textId="77777777" w:rsidR="00204C37" w:rsidRPr="004E513A" w:rsidRDefault="00204C37">
            <w:pPr>
              <w:pStyle w:val="TableParagraph"/>
              <w:rPr>
                <w:color w:val="7030A0"/>
                <w:sz w:val="24"/>
                <w:szCs w:val="24"/>
              </w:rPr>
            </w:pPr>
            <w:r w:rsidRPr="004E513A">
              <w:rPr>
                <w:color w:val="7030A0"/>
                <w:sz w:val="24"/>
                <w:szCs w:val="24"/>
              </w:rPr>
              <w:t xml:space="preserve">Please see the following additional tools: </w:t>
            </w:r>
          </w:p>
          <w:p w14:paraId="6AAEC2E8" w14:textId="7CB521E9" w:rsidR="00204C37" w:rsidRPr="002111C2" w:rsidRDefault="00C11883">
            <w:pPr>
              <w:pStyle w:val="TableParagraph"/>
              <w:rPr>
                <w:color w:val="7030A0"/>
                <w:sz w:val="24"/>
                <w:szCs w:val="24"/>
              </w:rPr>
            </w:pPr>
            <w:hyperlink r:id="rId14" w:history="1">
              <w:r w:rsidR="00E86751" w:rsidRPr="002111C2">
                <w:rPr>
                  <w:rStyle w:val="Hyperlink"/>
                  <w:sz w:val="24"/>
                  <w:szCs w:val="24"/>
                </w:rPr>
                <w:t>Teacher Performance Plan</w:t>
              </w:r>
            </w:hyperlink>
            <w:r w:rsidR="00E86751" w:rsidRPr="002111C2">
              <w:rPr>
                <w:color w:val="7030A0"/>
                <w:sz w:val="24"/>
                <w:szCs w:val="24"/>
              </w:rPr>
              <w:t xml:space="preserve"> </w:t>
            </w:r>
          </w:p>
          <w:p w14:paraId="32207678" w14:textId="08334020" w:rsidR="00E86751" w:rsidRPr="002111C2" w:rsidRDefault="00C11883">
            <w:pPr>
              <w:pStyle w:val="TableParagraph"/>
              <w:rPr>
                <w:color w:val="7030A0"/>
                <w:sz w:val="24"/>
                <w:szCs w:val="24"/>
              </w:rPr>
            </w:pPr>
            <w:hyperlink r:id="rId15" w:history="1">
              <w:r w:rsidR="00E86751" w:rsidRPr="002111C2">
                <w:rPr>
                  <w:rStyle w:val="Hyperlink"/>
                  <w:sz w:val="24"/>
                  <w:szCs w:val="24"/>
                </w:rPr>
                <w:t>Alliant CSOE Guiding Principles Dispositions Checklist</w:t>
              </w:r>
            </w:hyperlink>
          </w:p>
          <w:p w14:paraId="6336E171" w14:textId="0E6FF288" w:rsidR="00E86751" w:rsidRDefault="00C11883">
            <w:pPr>
              <w:pStyle w:val="TableParagraph"/>
            </w:pPr>
            <w:hyperlink r:id="rId16" w:history="1">
              <w:r w:rsidR="00A71C59" w:rsidRPr="00997274">
                <w:rPr>
                  <w:rStyle w:val="Hyperlink"/>
                  <w:sz w:val="24"/>
                  <w:szCs w:val="24"/>
                </w:rPr>
                <w:t>Candidate Handbook</w:t>
              </w:r>
            </w:hyperlink>
          </w:p>
        </w:tc>
      </w:tr>
      <w:tr w:rsidR="000A51E5" w14:paraId="17DA1430" w14:textId="77777777">
        <w:trPr>
          <w:trHeight w:val="2598"/>
        </w:trPr>
        <w:tc>
          <w:tcPr>
            <w:tcW w:w="1476" w:type="dxa"/>
          </w:tcPr>
          <w:p w14:paraId="2D766460" w14:textId="77777777" w:rsidR="000A51E5" w:rsidRDefault="000A51E5">
            <w:pPr>
              <w:pStyle w:val="TableParagraph"/>
              <w:spacing w:before="7"/>
              <w:ind w:left="0"/>
              <w:rPr>
                <w:sz w:val="34"/>
              </w:rPr>
            </w:pPr>
          </w:p>
          <w:p w14:paraId="31F58A1F" w14:textId="77777777" w:rsidR="000A51E5" w:rsidRDefault="002D403E">
            <w:pPr>
              <w:pStyle w:val="TableParagraph"/>
              <w:ind w:left="154" w:right="146" w:hanging="3"/>
              <w:jc w:val="center"/>
              <w:rPr>
                <w:sz w:val="24"/>
              </w:rPr>
            </w:pPr>
            <w:r>
              <w:rPr>
                <w:color w:val="0000FF"/>
                <w:sz w:val="24"/>
              </w:rPr>
              <w:t>More information needed</w:t>
            </w:r>
          </w:p>
          <w:p w14:paraId="33C09989" w14:textId="77777777" w:rsidR="000A51E5" w:rsidRDefault="000A51E5">
            <w:pPr>
              <w:pStyle w:val="TableParagraph"/>
              <w:ind w:left="0"/>
              <w:rPr>
                <w:sz w:val="24"/>
              </w:rPr>
            </w:pPr>
          </w:p>
          <w:p w14:paraId="7ECEE12D" w14:textId="77777777" w:rsidR="000A51E5" w:rsidRDefault="002D403E">
            <w:pPr>
              <w:pStyle w:val="TableParagraph"/>
              <w:ind w:left="347" w:right="345"/>
              <w:jc w:val="center"/>
              <w:rPr>
                <w:sz w:val="24"/>
              </w:rPr>
            </w:pPr>
            <w:r>
              <w:rPr>
                <w:color w:val="00AF50"/>
                <w:sz w:val="24"/>
              </w:rPr>
              <w:t>Aligned</w:t>
            </w:r>
          </w:p>
        </w:tc>
        <w:tc>
          <w:tcPr>
            <w:tcW w:w="8108" w:type="dxa"/>
          </w:tcPr>
          <w:p w14:paraId="61A17554" w14:textId="77777777" w:rsidR="000A51E5" w:rsidRDefault="002D403E">
            <w:pPr>
              <w:pStyle w:val="TableParagraph"/>
              <w:spacing w:line="291" w:lineRule="exact"/>
              <w:rPr>
                <w:sz w:val="24"/>
              </w:rPr>
            </w:pPr>
            <w:r>
              <w:rPr>
                <w:sz w:val="24"/>
              </w:rPr>
              <w:t>3: The Context for Bilingual Education and Bilingualism</w:t>
            </w:r>
          </w:p>
          <w:p w14:paraId="0A1F0CA2" w14:textId="77777777" w:rsidR="000A51E5" w:rsidRDefault="002D403E">
            <w:pPr>
              <w:pStyle w:val="TableParagraph"/>
              <w:spacing w:before="3"/>
              <w:rPr>
                <w:i/>
                <w:sz w:val="24"/>
              </w:rPr>
            </w:pPr>
            <w:r>
              <w:rPr>
                <w:b/>
                <w:i/>
                <w:sz w:val="24"/>
              </w:rPr>
              <w:t>Questions, Comments, Additional Information Needed</w:t>
            </w:r>
            <w:r>
              <w:rPr>
                <w:i/>
                <w:sz w:val="24"/>
              </w:rPr>
              <w:t>:</w:t>
            </w:r>
          </w:p>
          <w:p w14:paraId="643452A7" w14:textId="77777777" w:rsidR="000A51E5" w:rsidRDefault="002D403E">
            <w:pPr>
              <w:pStyle w:val="TableParagraph"/>
              <w:ind w:right="432"/>
              <w:rPr>
                <w:i/>
                <w:sz w:val="23"/>
              </w:rPr>
            </w:pPr>
            <w:r>
              <w:rPr>
                <w:i/>
                <w:sz w:val="23"/>
              </w:rPr>
              <w:t xml:space="preserve">The program develops candidates who demonstrate understanding of the philosophical, theoretical, </w:t>
            </w:r>
            <w:proofErr w:type="gramStart"/>
            <w:r>
              <w:rPr>
                <w:i/>
                <w:sz w:val="23"/>
              </w:rPr>
              <w:t>legal</w:t>
            </w:r>
            <w:proofErr w:type="gramEnd"/>
            <w:r>
              <w:rPr>
                <w:i/>
                <w:sz w:val="23"/>
              </w:rPr>
              <w:t xml:space="preserve"> and legislative foundations of bilingual education and their effects on program design and educational achievement.</w:t>
            </w:r>
          </w:p>
          <w:p w14:paraId="4653CC86" w14:textId="77777777" w:rsidR="000A51E5" w:rsidRDefault="002D403E">
            <w:pPr>
              <w:pStyle w:val="TableParagraph"/>
              <w:ind w:right="264"/>
              <w:rPr>
                <w:sz w:val="24"/>
              </w:rPr>
            </w:pPr>
            <w:r>
              <w:rPr>
                <w:color w:val="0000FF"/>
                <w:sz w:val="24"/>
              </w:rPr>
              <w:t xml:space="preserve">Need more information on how the program ensures that candidates analyze the effects and impacts of federal, </w:t>
            </w:r>
            <w:proofErr w:type="gramStart"/>
            <w:r>
              <w:rPr>
                <w:color w:val="0000FF"/>
                <w:sz w:val="24"/>
              </w:rPr>
              <w:t>state</w:t>
            </w:r>
            <w:proofErr w:type="gramEnd"/>
            <w:r>
              <w:rPr>
                <w:color w:val="0000FF"/>
                <w:sz w:val="24"/>
              </w:rPr>
              <w:t xml:space="preserve"> and local policies on the measurement of educational achievement of students in bilingual programs.</w:t>
            </w:r>
          </w:p>
        </w:tc>
      </w:tr>
      <w:tr w:rsidR="000A51E5" w14:paraId="35BEEEE2" w14:textId="77777777">
        <w:trPr>
          <w:trHeight w:val="882"/>
        </w:trPr>
        <w:tc>
          <w:tcPr>
            <w:tcW w:w="1476" w:type="dxa"/>
          </w:tcPr>
          <w:p w14:paraId="2445314F" w14:textId="77777777" w:rsidR="000A51E5" w:rsidRDefault="002D403E">
            <w:pPr>
              <w:pStyle w:val="TableParagraph"/>
              <w:spacing w:before="150"/>
              <w:ind w:left="366"/>
              <w:rPr>
                <w:sz w:val="24"/>
              </w:rPr>
            </w:pPr>
            <w:r>
              <w:rPr>
                <w:color w:val="0000FF"/>
                <w:sz w:val="24"/>
              </w:rPr>
              <w:t>Aligned</w:t>
            </w:r>
          </w:p>
        </w:tc>
        <w:tc>
          <w:tcPr>
            <w:tcW w:w="8108" w:type="dxa"/>
          </w:tcPr>
          <w:p w14:paraId="0D815C33" w14:textId="77777777" w:rsidR="000A51E5" w:rsidRDefault="002D403E">
            <w:pPr>
              <w:pStyle w:val="TableParagraph"/>
              <w:spacing w:before="2" w:line="292" w:lineRule="exact"/>
              <w:rPr>
                <w:sz w:val="24"/>
              </w:rPr>
            </w:pPr>
            <w:r>
              <w:rPr>
                <w:sz w:val="24"/>
              </w:rPr>
              <w:t>4: Bilingual Methodology</w:t>
            </w:r>
          </w:p>
          <w:p w14:paraId="36BAC25B" w14:textId="77777777" w:rsidR="000A51E5" w:rsidRDefault="002D403E">
            <w:pPr>
              <w:pStyle w:val="TableParagraph"/>
              <w:spacing w:line="292" w:lineRule="exact"/>
              <w:rPr>
                <w:i/>
                <w:sz w:val="24"/>
              </w:rPr>
            </w:pPr>
            <w:r>
              <w:rPr>
                <w:b/>
                <w:i/>
                <w:sz w:val="24"/>
              </w:rPr>
              <w:t>Questions, Comments, Additional Information Needed</w:t>
            </w:r>
            <w:r>
              <w:rPr>
                <w:i/>
                <w:sz w:val="24"/>
              </w:rPr>
              <w:t>:</w:t>
            </w:r>
          </w:p>
        </w:tc>
      </w:tr>
      <w:tr w:rsidR="000A51E5" w14:paraId="176D0F4F" w14:textId="77777777">
        <w:trPr>
          <w:trHeight w:val="4601"/>
        </w:trPr>
        <w:tc>
          <w:tcPr>
            <w:tcW w:w="1476" w:type="dxa"/>
          </w:tcPr>
          <w:p w14:paraId="78DF1510" w14:textId="77777777" w:rsidR="000A51E5" w:rsidRDefault="000A51E5">
            <w:pPr>
              <w:pStyle w:val="TableParagraph"/>
              <w:ind w:left="0"/>
              <w:rPr>
                <w:sz w:val="24"/>
              </w:rPr>
            </w:pPr>
          </w:p>
          <w:p w14:paraId="2137F329" w14:textId="77777777" w:rsidR="000A51E5" w:rsidRDefault="000A51E5">
            <w:pPr>
              <w:pStyle w:val="TableParagraph"/>
              <w:ind w:left="0"/>
              <w:rPr>
                <w:sz w:val="24"/>
              </w:rPr>
            </w:pPr>
          </w:p>
          <w:p w14:paraId="7A78388B" w14:textId="77777777" w:rsidR="000A51E5" w:rsidRDefault="000A51E5">
            <w:pPr>
              <w:pStyle w:val="TableParagraph"/>
              <w:ind w:left="0"/>
              <w:rPr>
                <w:sz w:val="24"/>
              </w:rPr>
            </w:pPr>
          </w:p>
          <w:p w14:paraId="711E25BA" w14:textId="77777777" w:rsidR="000A51E5" w:rsidRDefault="000A51E5">
            <w:pPr>
              <w:pStyle w:val="TableParagraph"/>
              <w:ind w:left="0"/>
              <w:rPr>
                <w:sz w:val="24"/>
              </w:rPr>
            </w:pPr>
          </w:p>
          <w:p w14:paraId="2C9A4CE1" w14:textId="77777777" w:rsidR="000A51E5" w:rsidRDefault="000A51E5">
            <w:pPr>
              <w:pStyle w:val="TableParagraph"/>
              <w:spacing w:before="3"/>
              <w:ind w:left="0"/>
              <w:rPr>
                <w:sz w:val="32"/>
              </w:rPr>
            </w:pPr>
          </w:p>
          <w:p w14:paraId="36841467" w14:textId="77777777" w:rsidR="000A51E5" w:rsidRDefault="002D403E">
            <w:pPr>
              <w:pStyle w:val="TableParagraph"/>
              <w:spacing w:before="1"/>
              <w:ind w:left="154" w:right="146" w:hanging="3"/>
              <w:jc w:val="center"/>
              <w:rPr>
                <w:sz w:val="24"/>
              </w:rPr>
            </w:pPr>
            <w:r>
              <w:rPr>
                <w:color w:val="0000FF"/>
                <w:sz w:val="24"/>
              </w:rPr>
              <w:t>More information needed</w:t>
            </w:r>
          </w:p>
          <w:p w14:paraId="040F83E5" w14:textId="77777777" w:rsidR="000A51E5" w:rsidRDefault="000A51E5">
            <w:pPr>
              <w:pStyle w:val="TableParagraph"/>
              <w:ind w:left="0"/>
              <w:rPr>
                <w:sz w:val="24"/>
              </w:rPr>
            </w:pPr>
          </w:p>
          <w:p w14:paraId="62439ED0" w14:textId="77777777" w:rsidR="000A51E5" w:rsidRDefault="002D403E">
            <w:pPr>
              <w:pStyle w:val="TableParagraph"/>
              <w:ind w:left="347" w:right="345"/>
              <w:jc w:val="center"/>
              <w:rPr>
                <w:sz w:val="24"/>
              </w:rPr>
            </w:pPr>
            <w:r>
              <w:rPr>
                <w:color w:val="00AF50"/>
                <w:sz w:val="24"/>
              </w:rPr>
              <w:t>Aligned</w:t>
            </w:r>
          </w:p>
        </w:tc>
        <w:tc>
          <w:tcPr>
            <w:tcW w:w="8108" w:type="dxa"/>
          </w:tcPr>
          <w:p w14:paraId="57307B5C" w14:textId="77777777" w:rsidR="000A51E5" w:rsidRDefault="002D403E">
            <w:pPr>
              <w:pStyle w:val="TableParagraph"/>
              <w:spacing w:line="291" w:lineRule="exact"/>
              <w:rPr>
                <w:sz w:val="24"/>
              </w:rPr>
            </w:pPr>
            <w:r>
              <w:rPr>
                <w:sz w:val="24"/>
              </w:rPr>
              <w:t>5: Cultural Emphasis</w:t>
            </w:r>
          </w:p>
          <w:p w14:paraId="79F9648A" w14:textId="77777777" w:rsidR="000A51E5" w:rsidRDefault="002D403E">
            <w:pPr>
              <w:pStyle w:val="TableParagraph"/>
              <w:spacing w:line="292" w:lineRule="exact"/>
              <w:rPr>
                <w:b/>
                <w:i/>
                <w:sz w:val="24"/>
              </w:rPr>
            </w:pPr>
            <w:r>
              <w:rPr>
                <w:b/>
                <w:i/>
                <w:sz w:val="24"/>
              </w:rPr>
              <w:t>Questions, Comments, Additional Information Needed:</w:t>
            </w:r>
          </w:p>
          <w:p w14:paraId="6F930674" w14:textId="77777777" w:rsidR="000A51E5" w:rsidRDefault="002D403E">
            <w:pPr>
              <w:pStyle w:val="TableParagraph"/>
              <w:spacing w:before="4"/>
              <w:ind w:right="399"/>
              <w:rPr>
                <w:i/>
                <w:sz w:val="23"/>
              </w:rPr>
            </w:pPr>
            <w:r>
              <w:rPr>
                <w:i/>
                <w:sz w:val="23"/>
              </w:rPr>
              <w:t>The professional bilingual teacher preparation program develops candidates’ knowledge of the traditions, roles, status, and communication patterns of the culture of emphasis as experienced in the country or countries of origin and in the United States.</w:t>
            </w:r>
          </w:p>
          <w:p w14:paraId="766B87F3" w14:textId="77777777" w:rsidR="000A51E5" w:rsidRDefault="002D403E">
            <w:pPr>
              <w:pStyle w:val="TableParagraph"/>
              <w:spacing w:line="288" w:lineRule="exact"/>
              <w:rPr>
                <w:sz w:val="24"/>
              </w:rPr>
            </w:pPr>
            <w:r>
              <w:rPr>
                <w:color w:val="0000FF"/>
                <w:sz w:val="24"/>
              </w:rPr>
              <w:t>Signature Assignment: links to Signature Assignment for BLA 6400, not BLA 6420</w:t>
            </w:r>
          </w:p>
          <w:p w14:paraId="164B6034" w14:textId="77777777" w:rsidR="000A51E5" w:rsidRDefault="000A51E5">
            <w:pPr>
              <w:pStyle w:val="TableParagraph"/>
              <w:spacing w:before="4"/>
              <w:ind w:left="0"/>
              <w:rPr>
                <w:sz w:val="24"/>
              </w:rPr>
            </w:pPr>
          </w:p>
          <w:p w14:paraId="64B66628" w14:textId="77777777" w:rsidR="000A51E5" w:rsidRDefault="002D403E">
            <w:pPr>
              <w:pStyle w:val="TableParagraph"/>
              <w:ind w:right="169"/>
              <w:rPr>
                <w:i/>
                <w:sz w:val="23"/>
              </w:rPr>
            </w:pPr>
            <w:r>
              <w:rPr>
                <w:i/>
                <w:sz w:val="23"/>
              </w:rPr>
              <w:t xml:space="preserve">Included in that knowledge is the understanding of cross-cultural, </w:t>
            </w:r>
            <w:proofErr w:type="gramStart"/>
            <w:r>
              <w:rPr>
                <w:i/>
                <w:sz w:val="23"/>
              </w:rPr>
              <w:t>intercultural</w:t>
            </w:r>
            <w:proofErr w:type="gramEnd"/>
            <w:r>
              <w:rPr>
                <w:i/>
                <w:sz w:val="23"/>
              </w:rPr>
              <w:t xml:space="preserve"> and intracultural relationships and interactions, as well as contributions of the culture of emphasis in California and the United States.</w:t>
            </w:r>
          </w:p>
          <w:p w14:paraId="447A005F" w14:textId="77777777" w:rsidR="000A51E5" w:rsidRDefault="002D403E">
            <w:pPr>
              <w:pStyle w:val="TableParagraph"/>
              <w:ind w:right="381"/>
              <w:jc w:val="both"/>
              <w:rPr>
                <w:sz w:val="24"/>
              </w:rPr>
            </w:pPr>
            <w:r>
              <w:rPr>
                <w:color w:val="0000FF"/>
                <w:sz w:val="24"/>
              </w:rPr>
              <w:t>Week 8: Community – Reading from Hammond’s book might help address the first half of the standard; the readings do not yet address the latter half of the standard. Perhaps link to both Week 4 and Week 8, and any other readings in the program that address this part of the standard.</w:t>
            </w:r>
          </w:p>
        </w:tc>
      </w:tr>
      <w:tr w:rsidR="000A51E5" w14:paraId="2ECF5077" w14:textId="77777777">
        <w:trPr>
          <w:trHeight w:val="2866"/>
        </w:trPr>
        <w:tc>
          <w:tcPr>
            <w:tcW w:w="1476" w:type="dxa"/>
          </w:tcPr>
          <w:p w14:paraId="4DF11886" w14:textId="77777777" w:rsidR="000A51E5" w:rsidRDefault="000A51E5">
            <w:pPr>
              <w:pStyle w:val="TableParagraph"/>
              <w:ind w:left="0"/>
              <w:rPr>
                <w:sz w:val="24"/>
              </w:rPr>
            </w:pPr>
          </w:p>
          <w:p w14:paraId="3546A9D1" w14:textId="77777777" w:rsidR="000A51E5" w:rsidRDefault="000A51E5">
            <w:pPr>
              <w:pStyle w:val="TableParagraph"/>
              <w:spacing w:before="6"/>
              <w:ind w:left="0"/>
              <w:rPr>
                <w:sz w:val="33"/>
              </w:rPr>
            </w:pPr>
          </w:p>
          <w:p w14:paraId="72ED884C" w14:textId="77777777" w:rsidR="000A51E5" w:rsidRDefault="002D403E">
            <w:pPr>
              <w:pStyle w:val="TableParagraph"/>
              <w:ind w:left="154" w:right="146" w:hanging="3"/>
              <w:jc w:val="center"/>
              <w:rPr>
                <w:sz w:val="24"/>
              </w:rPr>
            </w:pPr>
            <w:r>
              <w:rPr>
                <w:color w:val="0000FF"/>
                <w:sz w:val="24"/>
              </w:rPr>
              <w:t>More information needed</w:t>
            </w:r>
          </w:p>
          <w:p w14:paraId="1D92AF7E" w14:textId="77777777" w:rsidR="000A51E5" w:rsidRDefault="000A51E5">
            <w:pPr>
              <w:pStyle w:val="TableParagraph"/>
              <w:ind w:left="0"/>
              <w:rPr>
                <w:sz w:val="24"/>
              </w:rPr>
            </w:pPr>
          </w:p>
          <w:p w14:paraId="1F632D32" w14:textId="77777777" w:rsidR="000A51E5" w:rsidRDefault="002D403E">
            <w:pPr>
              <w:pStyle w:val="TableParagraph"/>
              <w:spacing w:before="1"/>
              <w:ind w:left="347" w:right="345"/>
              <w:jc w:val="center"/>
              <w:rPr>
                <w:sz w:val="24"/>
              </w:rPr>
            </w:pPr>
            <w:r>
              <w:rPr>
                <w:color w:val="00AF50"/>
                <w:sz w:val="24"/>
              </w:rPr>
              <w:t>Aligned</w:t>
            </w:r>
          </w:p>
        </w:tc>
        <w:tc>
          <w:tcPr>
            <w:tcW w:w="8108" w:type="dxa"/>
          </w:tcPr>
          <w:p w14:paraId="3AC9A863" w14:textId="77777777" w:rsidR="000A51E5" w:rsidRDefault="002D403E">
            <w:pPr>
              <w:pStyle w:val="TableParagraph"/>
              <w:spacing w:line="291" w:lineRule="exact"/>
              <w:rPr>
                <w:sz w:val="24"/>
              </w:rPr>
            </w:pPr>
            <w:r>
              <w:rPr>
                <w:sz w:val="24"/>
              </w:rPr>
              <w:t>6: Assessment of Candidate Language Competencies</w:t>
            </w:r>
          </w:p>
          <w:p w14:paraId="654DB3E8" w14:textId="77777777" w:rsidR="000A51E5" w:rsidRDefault="002D403E">
            <w:pPr>
              <w:pStyle w:val="TableParagraph"/>
              <w:spacing w:line="292" w:lineRule="exact"/>
              <w:rPr>
                <w:b/>
                <w:sz w:val="24"/>
              </w:rPr>
            </w:pPr>
            <w:r>
              <w:rPr>
                <w:b/>
                <w:i/>
                <w:sz w:val="24"/>
              </w:rPr>
              <w:t>Questions, Comments, Additional Information Needed</w:t>
            </w:r>
            <w:r>
              <w:rPr>
                <w:b/>
                <w:sz w:val="24"/>
              </w:rPr>
              <w:t>:</w:t>
            </w:r>
          </w:p>
          <w:p w14:paraId="70FBB23B" w14:textId="77777777" w:rsidR="000A51E5" w:rsidRDefault="002D403E">
            <w:pPr>
              <w:pStyle w:val="TableParagraph"/>
              <w:spacing w:before="4"/>
              <w:ind w:right="196"/>
              <w:rPr>
                <w:i/>
                <w:sz w:val="23"/>
              </w:rPr>
            </w:pPr>
            <w:r>
              <w:rPr>
                <w:i/>
                <w:sz w:val="23"/>
              </w:rPr>
              <w:t xml:space="preserve">The institution must verify, during the program or at its completion that the candidate has attained, in listening, speaking, </w:t>
            </w:r>
            <w:proofErr w:type="gramStart"/>
            <w:r>
              <w:rPr>
                <w:i/>
                <w:sz w:val="23"/>
              </w:rPr>
              <w:t>reading</w:t>
            </w:r>
            <w:proofErr w:type="gramEnd"/>
            <w:r>
              <w:rPr>
                <w:i/>
                <w:sz w:val="23"/>
              </w:rPr>
              <w:t xml:space="preserve"> and writing a language proficiency level that is equivalent to the passing standard on the appropriate CSET: LOTE language examination.</w:t>
            </w:r>
          </w:p>
          <w:p w14:paraId="02F1714E" w14:textId="77777777" w:rsidR="000A51E5" w:rsidRDefault="002D403E">
            <w:pPr>
              <w:pStyle w:val="TableParagraph"/>
              <w:spacing w:line="242" w:lineRule="auto"/>
              <w:ind w:right="783"/>
              <w:rPr>
                <w:sz w:val="24"/>
              </w:rPr>
            </w:pPr>
            <w:r>
              <w:rPr>
                <w:color w:val="0000FF"/>
                <w:sz w:val="24"/>
              </w:rPr>
              <w:t>Evidence missing: Link to document used to verify their having passed the appropriate CSET LOTE exam.</w:t>
            </w:r>
          </w:p>
          <w:p w14:paraId="03947829" w14:textId="77777777" w:rsidR="000A51E5" w:rsidRDefault="000A51E5">
            <w:pPr>
              <w:pStyle w:val="TableParagraph"/>
              <w:spacing w:before="4"/>
              <w:ind w:left="0"/>
              <w:rPr>
                <w:sz w:val="23"/>
              </w:rPr>
            </w:pPr>
          </w:p>
          <w:p w14:paraId="71D2608F" w14:textId="77777777" w:rsidR="000A51E5" w:rsidRDefault="002D403E">
            <w:pPr>
              <w:pStyle w:val="TableParagraph"/>
              <w:spacing w:before="1" w:line="258" w:lineRule="exact"/>
              <w:rPr>
                <w:i/>
                <w:sz w:val="23"/>
              </w:rPr>
            </w:pPr>
            <w:r>
              <w:rPr>
                <w:i/>
                <w:sz w:val="23"/>
              </w:rPr>
              <w:t>The program creates clear guidelines by which the candidate will be assessed.</w:t>
            </w:r>
          </w:p>
        </w:tc>
      </w:tr>
    </w:tbl>
    <w:p w14:paraId="624EBFF8" w14:textId="77777777" w:rsidR="000A51E5" w:rsidRDefault="000A51E5">
      <w:pPr>
        <w:spacing w:line="258" w:lineRule="exact"/>
        <w:rPr>
          <w:sz w:val="23"/>
        </w:rPr>
        <w:sectPr w:rsidR="000A51E5">
          <w:pgSz w:w="12240" w:h="15840"/>
          <w:pgMar w:top="1420" w:right="1220" w:bottom="1200" w:left="1220" w:header="768" w:footer="101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8108"/>
      </w:tblGrid>
      <w:tr w:rsidR="000A51E5" w14:paraId="4266C963" w14:textId="77777777">
        <w:trPr>
          <w:trHeight w:val="294"/>
        </w:trPr>
        <w:tc>
          <w:tcPr>
            <w:tcW w:w="1476" w:type="dxa"/>
          </w:tcPr>
          <w:p w14:paraId="022765AA" w14:textId="77777777" w:rsidR="000A51E5" w:rsidRDefault="002D403E">
            <w:pPr>
              <w:pStyle w:val="TableParagraph"/>
              <w:spacing w:before="2" w:line="272" w:lineRule="exact"/>
              <w:ind w:left="422"/>
              <w:rPr>
                <w:b/>
                <w:sz w:val="24"/>
              </w:rPr>
            </w:pPr>
            <w:r>
              <w:rPr>
                <w:b/>
                <w:sz w:val="24"/>
              </w:rPr>
              <w:lastRenderedPageBreak/>
              <w:t>Status</w:t>
            </w:r>
          </w:p>
        </w:tc>
        <w:tc>
          <w:tcPr>
            <w:tcW w:w="8108" w:type="dxa"/>
          </w:tcPr>
          <w:p w14:paraId="3C73D2B2" w14:textId="77777777" w:rsidR="000A51E5" w:rsidRDefault="002D403E">
            <w:pPr>
              <w:pStyle w:val="TableParagraph"/>
              <w:spacing w:before="2" w:line="272" w:lineRule="exact"/>
              <w:ind w:left="3578" w:right="3574"/>
              <w:jc w:val="center"/>
              <w:rPr>
                <w:b/>
                <w:sz w:val="24"/>
              </w:rPr>
            </w:pPr>
            <w:r>
              <w:rPr>
                <w:b/>
                <w:sz w:val="24"/>
              </w:rPr>
              <w:t>Standard</w:t>
            </w:r>
          </w:p>
        </w:tc>
      </w:tr>
      <w:tr w:rsidR="000A51E5" w14:paraId="35E93215" w14:textId="77777777">
        <w:trPr>
          <w:trHeight w:val="4685"/>
        </w:trPr>
        <w:tc>
          <w:tcPr>
            <w:tcW w:w="1476" w:type="dxa"/>
          </w:tcPr>
          <w:p w14:paraId="7C48B9D2" w14:textId="77777777" w:rsidR="000A51E5" w:rsidRDefault="000A51E5">
            <w:pPr>
              <w:pStyle w:val="TableParagraph"/>
              <w:ind w:left="0"/>
              <w:rPr>
                <w:rFonts w:ascii="Times New Roman"/>
              </w:rPr>
            </w:pPr>
          </w:p>
        </w:tc>
        <w:tc>
          <w:tcPr>
            <w:tcW w:w="8108" w:type="dxa"/>
          </w:tcPr>
          <w:p w14:paraId="0D0DABD9" w14:textId="77777777" w:rsidR="000A51E5" w:rsidRDefault="002D403E">
            <w:pPr>
              <w:pStyle w:val="TableParagraph"/>
              <w:ind w:right="122"/>
              <w:rPr>
                <w:sz w:val="24"/>
              </w:rPr>
            </w:pPr>
            <w:r>
              <w:rPr>
                <w:color w:val="0000FF"/>
                <w:sz w:val="24"/>
              </w:rPr>
              <w:t xml:space="preserve">Admission Requirements: Link goes </w:t>
            </w:r>
            <w:r>
              <w:rPr>
                <w:color w:val="0000FF"/>
                <w:spacing w:val="-3"/>
                <w:sz w:val="24"/>
              </w:rPr>
              <w:t xml:space="preserve">to </w:t>
            </w:r>
            <w:r>
              <w:rPr>
                <w:color w:val="0000FF"/>
                <w:sz w:val="24"/>
              </w:rPr>
              <w:t xml:space="preserve">general CTC site on assessments: would be preferable to link to CSET sites for Spanish, Mandarin, Cantonese </w:t>
            </w:r>
            <w:r>
              <w:rPr>
                <w:color w:val="0000FF"/>
                <w:spacing w:val="-1"/>
                <w:sz w:val="24"/>
                <w:u w:val="single" w:color="0000FF"/>
              </w:rPr>
              <w:t>http://www.ctcexams.nesinc.com/TestView.aspx?f=HTML_FRAG/CA_CSET145_T</w:t>
            </w:r>
            <w:r>
              <w:rPr>
                <w:color w:val="0000FF"/>
                <w:spacing w:val="-1"/>
                <w:sz w:val="24"/>
              </w:rPr>
              <w:t xml:space="preserve"> </w:t>
            </w:r>
            <w:r>
              <w:rPr>
                <w:color w:val="0000FF"/>
                <w:sz w:val="24"/>
                <w:u w:val="single" w:color="0000FF"/>
              </w:rPr>
              <w:t>estPage.html</w:t>
            </w:r>
            <w:r>
              <w:rPr>
                <w:color w:val="0000FF"/>
                <w:sz w:val="24"/>
              </w:rPr>
              <w:t xml:space="preserve"> </w:t>
            </w:r>
            <w:r>
              <w:rPr>
                <w:color w:val="0000FF"/>
                <w:spacing w:val="-1"/>
                <w:sz w:val="24"/>
                <w:u w:val="single" w:color="0000FF"/>
              </w:rPr>
              <w:t>http://www.ctcexams.nesinc.com/TestView.aspx?f=HTML_FRAG/CA_CSET163_T</w:t>
            </w:r>
            <w:r>
              <w:rPr>
                <w:color w:val="0000FF"/>
                <w:spacing w:val="-1"/>
                <w:sz w:val="24"/>
              </w:rPr>
              <w:t xml:space="preserve"> </w:t>
            </w:r>
            <w:r>
              <w:rPr>
                <w:color w:val="0000FF"/>
                <w:sz w:val="24"/>
                <w:u w:val="single" w:color="0000FF"/>
              </w:rPr>
              <w:t>estPage.html</w:t>
            </w:r>
            <w:r>
              <w:rPr>
                <w:color w:val="0000FF"/>
                <w:sz w:val="24"/>
              </w:rPr>
              <w:t xml:space="preserve"> </w:t>
            </w:r>
            <w:r>
              <w:rPr>
                <w:color w:val="0000FF"/>
                <w:spacing w:val="-1"/>
                <w:sz w:val="24"/>
                <w:u w:val="single" w:color="0000FF"/>
              </w:rPr>
              <w:t>http://www.ctcexams.nesinc.com/TestView.aspx?f=HTML_FRAG/CA_CSET202_T</w:t>
            </w:r>
            <w:r>
              <w:rPr>
                <w:color w:val="0000FF"/>
                <w:spacing w:val="-1"/>
                <w:sz w:val="24"/>
              </w:rPr>
              <w:t xml:space="preserve"> </w:t>
            </w:r>
            <w:r>
              <w:rPr>
                <w:color w:val="0000FF"/>
                <w:sz w:val="24"/>
                <w:u w:val="single" w:color="0000FF"/>
              </w:rPr>
              <w:t>estPage.html</w:t>
            </w:r>
          </w:p>
          <w:p w14:paraId="60864F5D" w14:textId="77777777" w:rsidR="000A51E5" w:rsidRDefault="000A51E5">
            <w:pPr>
              <w:pStyle w:val="TableParagraph"/>
              <w:spacing w:before="10"/>
              <w:ind w:left="0"/>
              <w:rPr>
                <w:sz w:val="23"/>
              </w:rPr>
            </w:pPr>
          </w:p>
          <w:p w14:paraId="1B9F9115" w14:textId="77777777" w:rsidR="000A51E5" w:rsidRDefault="002D403E">
            <w:pPr>
              <w:pStyle w:val="TableParagraph"/>
              <w:spacing w:line="242" w:lineRule="auto"/>
              <w:rPr>
                <w:sz w:val="24"/>
              </w:rPr>
            </w:pPr>
            <w:r>
              <w:rPr>
                <w:color w:val="0000FF"/>
                <w:sz w:val="24"/>
              </w:rPr>
              <w:t>Raises question throughout proposal and materials: By “Chinese” do they mean Mandarin or Cantonese or both? Needs clarification throughout.</w:t>
            </w:r>
          </w:p>
          <w:p w14:paraId="538D947D" w14:textId="77777777" w:rsidR="000A51E5" w:rsidRDefault="000A51E5">
            <w:pPr>
              <w:pStyle w:val="TableParagraph"/>
              <w:spacing w:before="7"/>
              <w:ind w:left="0"/>
              <w:rPr>
                <w:sz w:val="23"/>
              </w:rPr>
            </w:pPr>
          </w:p>
          <w:p w14:paraId="798672A6" w14:textId="77777777" w:rsidR="000A51E5" w:rsidRDefault="002D403E">
            <w:pPr>
              <w:pStyle w:val="TableParagraph"/>
              <w:ind w:left="107"/>
              <w:rPr>
                <w:sz w:val="24"/>
              </w:rPr>
            </w:pPr>
            <w:r>
              <w:rPr>
                <w:color w:val="0000FF"/>
                <w:sz w:val="24"/>
              </w:rPr>
              <w:t>Also, in several locations and supporting document, proposal refers to CSET Spanish/Mandarin/Chinese II or III – the requirement is III. Please correct in all locations.</w:t>
            </w:r>
          </w:p>
        </w:tc>
      </w:tr>
    </w:tbl>
    <w:p w14:paraId="4E331922" w14:textId="77777777" w:rsidR="002D403E" w:rsidRDefault="002D403E"/>
    <w:sectPr w:rsidR="002D403E">
      <w:pgSz w:w="12240" w:h="15840"/>
      <w:pgMar w:top="1420" w:right="1220" w:bottom="1200" w:left="1220" w:header="768"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4AB2" w14:textId="77777777" w:rsidR="00C11883" w:rsidRDefault="00C11883">
      <w:r>
        <w:separator/>
      </w:r>
    </w:p>
  </w:endnote>
  <w:endnote w:type="continuationSeparator" w:id="0">
    <w:p w14:paraId="364C11C5" w14:textId="77777777" w:rsidR="00C11883" w:rsidRDefault="00C1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A87" w14:textId="10BCA50D" w:rsidR="000A51E5" w:rsidRDefault="006D1F77">
    <w:pPr>
      <w:pStyle w:val="BodyText"/>
      <w:spacing w:line="14" w:lineRule="auto"/>
      <w:rPr>
        <w:b w:val="0"/>
        <w:sz w:val="20"/>
      </w:rPr>
    </w:pPr>
    <w:r>
      <w:rPr>
        <w:noProof/>
      </w:rPr>
      <mc:AlternateContent>
        <mc:Choice Requires="wps">
          <w:drawing>
            <wp:anchor distT="0" distB="0" distL="114300" distR="114300" simplePos="0" relativeHeight="251386880" behindDoc="1" locked="0" layoutInCell="1" allowOverlap="1" wp14:anchorId="2B74E621" wp14:editId="31AB3929">
              <wp:simplePos x="0" y="0"/>
              <wp:positionH relativeFrom="page">
                <wp:posOffset>1130300</wp:posOffset>
              </wp:positionH>
              <wp:positionV relativeFrom="page">
                <wp:posOffset>9272270</wp:posOffset>
              </wp:positionV>
              <wp:extent cx="1607185"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45429" w14:textId="77777777" w:rsidR="000A51E5" w:rsidRDefault="002D403E">
                          <w:pPr>
                            <w:spacing w:before="11"/>
                            <w:ind w:left="20"/>
                            <w:rPr>
                              <w:rFonts w:ascii="Times New Roman"/>
                              <w:sz w:val="20"/>
                            </w:rPr>
                          </w:pPr>
                          <w:r>
                            <w:rPr>
                              <w:rFonts w:ascii="Times New Roman"/>
                              <w:sz w:val="20"/>
                            </w:rPr>
                            <w:t>Bilingual Authorization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4E621" id="_x0000_t202" coordsize="21600,21600" o:spt="202" path="m,l,21600r21600,l21600,xe">
              <v:stroke joinstyle="miter"/>
              <v:path gradientshapeok="t" o:connecttype="rect"/>
            </v:shapetype>
            <v:shape id="Text Box 2" o:spid="_x0000_s1028" type="#_x0000_t202" style="position:absolute;margin-left:89pt;margin-top:730.1pt;width:126.55pt;height:13.1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" filled="f" stroked="f">
              <v:textbox inset="0,0,0,0">
                <w:txbxContent>
                  <w:p w14:paraId="24B45429" w14:textId="77777777" w:rsidR="000A51E5" w:rsidRDefault="002D403E">
                    <w:pPr>
                      <w:spacing w:before="11"/>
                      <w:ind w:left="20"/>
                      <w:rPr>
                        <w:rFonts w:ascii="Times New Roman"/>
                        <w:sz w:val="20"/>
                      </w:rPr>
                    </w:pPr>
                    <w:r>
                      <w:rPr>
                        <w:rFonts w:ascii="Times New Roman"/>
                        <w:sz w:val="20"/>
                      </w:rPr>
                      <w:t>Bilingual Authorization (2009)</w:t>
                    </w:r>
                  </w:p>
                </w:txbxContent>
              </v:textbox>
              <w10:wrap anchorx="page" anchory="page"/>
            </v:shape>
          </w:pict>
        </mc:Fallback>
      </mc:AlternateContent>
    </w:r>
    <w:r>
      <w:rPr>
        <w:noProof/>
      </w:rPr>
      <mc:AlternateContent>
        <mc:Choice Requires="wps">
          <w:drawing>
            <wp:anchor distT="0" distB="0" distL="114300" distR="114300" simplePos="0" relativeHeight="251387904" behindDoc="1" locked="0" layoutInCell="1" allowOverlap="1" wp14:anchorId="3EAD59FA" wp14:editId="5FABD246">
              <wp:simplePos x="0" y="0"/>
              <wp:positionH relativeFrom="page">
                <wp:posOffset>6515100</wp:posOffset>
              </wp:positionH>
              <wp:positionV relativeFrom="page">
                <wp:posOffset>9274810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6BB88" w14:textId="77777777" w:rsidR="000A51E5" w:rsidRDefault="002D403E">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59FA" id="Text Box 1" o:spid="_x0000_s1029" type="#_x0000_t202" style="position:absolute;margin-left:513pt;margin-top:730.3pt;width:12pt;height:15.3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" filled="f" stroked="f">
              <v:textbox inset="0,0,0,0">
                <w:txbxContent>
                  <w:p w14:paraId="5F46BB88" w14:textId="77777777" w:rsidR="000A51E5" w:rsidRDefault="002D403E">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F42F" w14:textId="77777777" w:rsidR="00C11883" w:rsidRDefault="00C11883">
      <w:r>
        <w:separator/>
      </w:r>
    </w:p>
  </w:footnote>
  <w:footnote w:type="continuationSeparator" w:id="0">
    <w:p w14:paraId="1564264D" w14:textId="77777777" w:rsidR="00C11883" w:rsidRDefault="00C1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B4A1" w14:textId="70F7319C" w:rsidR="000A51E5" w:rsidRDefault="006D1F77">
    <w:pPr>
      <w:pStyle w:val="BodyText"/>
      <w:spacing w:line="14" w:lineRule="auto"/>
      <w:rPr>
        <w:b w:val="0"/>
        <w:sz w:val="20"/>
      </w:rPr>
    </w:pPr>
    <w:r>
      <w:rPr>
        <w:noProof/>
      </w:rPr>
      <mc:AlternateContent>
        <mc:Choice Requires="wps">
          <w:drawing>
            <wp:anchor distT="0" distB="0" distL="114300" distR="114300" simplePos="0" relativeHeight="251384832" behindDoc="1" locked="0" layoutInCell="1" allowOverlap="1" wp14:anchorId="57B9DD3C" wp14:editId="52C52A5E">
              <wp:simplePos x="0" y="0"/>
              <wp:positionH relativeFrom="page">
                <wp:posOffset>1130300</wp:posOffset>
              </wp:positionH>
              <wp:positionV relativeFrom="page">
                <wp:posOffset>474980</wp:posOffset>
              </wp:positionV>
              <wp:extent cx="2286635"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AB6E" w14:textId="77777777" w:rsidR="000A51E5" w:rsidRDefault="002D403E">
                          <w:pPr>
                            <w:spacing w:line="264" w:lineRule="exact"/>
                            <w:ind w:left="20"/>
                            <w:rPr>
                              <w:sz w:val="24"/>
                            </w:rPr>
                          </w:pPr>
                          <w:r>
                            <w:rPr>
                              <w:sz w:val="24"/>
                            </w:rPr>
                            <w:t>Alliant International University CSOE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9DD3C" id="_x0000_t202" coordsize="21600,21600" o:spt="202" path="m,l,21600r21600,l21600,xe">
              <v:stroke joinstyle="miter"/>
              <v:path gradientshapeok="t" o:connecttype="rect"/>
            </v:shapetype>
            <v:shape id="Text Box 4" o:spid="_x0000_s1026" type="#_x0000_t202" style="position:absolute;margin-left:89pt;margin-top:37.4pt;width:180.05pt;height:14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" filled="f" stroked="f">
              <v:textbox inset="0,0,0,0">
                <w:txbxContent>
                  <w:p w14:paraId="1B61AB6E" w14:textId="77777777" w:rsidR="000A51E5" w:rsidRDefault="002D403E">
                    <w:pPr>
                      <w:spacing w:line="264" w:lineRule="exact"/>
                      <w:ind w:left="20"/>
                      <w:rPr>
                        <w:sz w:val="24"/>
                      </w:rPr>
                    </w:pPr>
                    <w:r>
                      <w:rPr>
                        <w:sz w:val="24"/>
                      </w:rPr>
                      <w:t>Alliant International University CSOE</w:t>
                    </w:r>
                  </w:p>
                </w:txbxContent>
              </v:textbox>
              <w10:wrap anchorx="page" anchory="page"/>
            </v:shape>
          </w:pict>
        </mc:Fallback>
      </mc:AlternateContent>
    </w:r>
    <w:r>
      <w:rPr>
        <w:noProof/>
      </w:rPr>
      <mc:AlternateContent>
        <mc:Choice Requires="wps">
          <w:drawing>
            <wp:anchor distT="0" distB="0" distL="114300" distR="114300" simplePos="0" relativeHeight="251385856" behindDoc="1" locked="0" layoutInCell="1" allowOverlap="1" wp14:anchorId="10691C71" wp14:editId="190ECADD">
              <wp:simplePos x="0" y="0"/>
              <wp:positionH relativeFrom="page">
                <wp:posOffset>6286500</wp:posOffset>
              </wp:positionH>
              <wp:positionV relativeFrom="page">
                <wp:posOffset>474980</wp:posOffset>
              </wp:positionV>
              <wp:extent cx="35623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23D25" w14:textId="77777777" w:rsidR="000A51E5" w:rsidRDefault="002D403E">
                          <w:pPr>
                            <w:spacing w:line="264" w:lineRule="exact"/>
                            <w:ind w:left="20"/>
                            <w:rPr>
                              <w:sz w:val="24"/>
                            </w:rPr>
                          </w:pPr>
                          <w:r>
                            <w:rPr>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1C71" id="Text Box 3" o:spid="_x0000_s1027" type="#_x0000_t202" style="position:absolute;margin-left:495pt;margin-top:37.4pt;width:28.05pt;height:14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" filled="f" stroked="f">
              <v:textbox inset="0,0,0,0">
                <w:txbxContent>
                  <w:p w14:paraId="7E123D25" w14:textId="77777777" w:rsidR="000A51E5" w:rsidRDefault="002D403E">
                    <w:pPr>
                      <w:spacing w:line="264" w:lineRule="exact"/>
                      <w:ind w:left="20"/>
                      <w:rPr>
                        <w:sz w:val="24"/>
                      </w:rPr>
                    </w:pPr>
                    <w:r>
                      <w:rPr>
                        <w:sz w:val="24"/>
                      </w:rPr>
                      <w:t>DATE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E5"/>
    <w:rsid w:val="000A51E5"/>
    <w:rsid w:val="000C3FD6"/>
    <w:rsid w:val="000F5F92"/>
    <w:rsid w:val="00204C37"/>
    <w:rsid w:val="002111C2"/>
    <w:rsid w:val="002479B8"/>
    <w:rsid w:val="002D403E"/>
    <w:rsid w:val="00346AAE"/>
    <w:rsid w:val="004E513A"/>
    <w:rsid w:val="006943F4"/>
    <w:rsid w:val="006D1F77"/>
    <w:rsid w:val="006D4573"/>
    <w:rsid w:val="00997274"/>
    <w:rsid w:val="009A511D"/>
    <w:rsid w:val="00A26A33"/>
    <w:rsid w:val="00A71C59"/>
    <w:rsid w:val="00BA7EB4"/>
    <w:rsid w:val="00C11883"/>
    <w:rsid w:val="00C47AEA"/>
    <w:rsid w:val="00DD1ED2"/>
    <w:rsid w:val="00E86751"/>
    <w:rsid w:val="00F6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E2DC8"/>
  <w15:docId w15:val="{AF719298-3081-4E84-AEFB-883EAAFE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2111C2"/>
    <w:rPr>
      <w:color w:val="0000FF" w:themeColor="hyperlink"/>
      <w:u w:val="single"/>
    </w:rPr>
  </w:style>
  <w:style w:type="character" w:styleId="UnresolvedMention">
    <w:name w:val="Unresolved Mention"/>
    <w:basedOn w:val="DefaultParagraphFont"/>
    <w:uiPriority w:val="99"/>
    <w:semiHidden/>
    <w:unhideWhenUsed/>
    <w:rsid w:val="002111C2"/>
    <w:rPr>
      <w:color w:val="605E5C"/>
      <w:shd w:val="clear" w:color="auto" w:fill="E1DFDD"/>
    </w:rPr>
  </w:style>
  <w:style w:type="character" w:styleId="FollowedHyperlink">
    <w:name w:val="FollowedHyperlink"/>
    <w:basedOn w:val="DefaultParagraphFont"/>
    <w:uiPriority w:val="99"/>
    <w:semiHidden/>
    <w:unhideWhenUsed/>
    <w:rsid w:val="00A71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thelp.alliant.edu/uploads/2/2/4/5/2245311/bila_orientatio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thelp.alliant.edu/uploads/2/2/4/5/2245311/candidate_handbook_april2021.pdf"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thelp.alliant.edu/uploads/2/2/4/5/2245311/candidate_handbook_2021.pdf" TargetMode="External"/><Relationship Id="rId1" Type="http://schemas.openxmlformats.org/officeDocument/2006/relationships/styles" Target="styles.xml"/><Relationship Id="rId6" Type="http://schemas.openxmlformats.org/officeDocument/2006/relationships/hyperlink" Target="https://ithelp.alliant.edu/uploads/2/2/4/5/2245311/bila_mps_post_credential.pdf" TargetMode="External"/><Relationship Id="rId11" Type="http://schemas.openxmlformats.org/officeDocument/2006/relationships/hyperlink" Target="https://ithelp.alliant.edu/uploads/2/2/4/5/2245311/candidate_handbook_april2021.pdf" TargetMode="External"/><Relationship Id="rId5" Type="http://schemas.openxmlformats.org/officeDocument/2006/relationships/endnotes" Target="endnotes.xml"/><Relationship Id="rId15" Type="http://schemas.openxmlformats.org/officeDocument/2006/relationships/hyperlink" Target="https://ithelp.alliant.edu/uploads/2/2/4/5/2245311/alliant_csoe_guiding_principles_dispositions_checklist.pdf" TargetMode="External"/><Relationship Id="rId10" Type="http://schemas.openxmlformats.org/officeDocument/2006/relationships/hyperlink" Target="https://ithelp.alliant.edu/uploads/2/2/4/5/2245311/bila_audit_checklist_post_concurrent.xlsx" TargetMode="External"/><Relationship Id="rId4" Type="http://schemas.openxmlformats.org/officeDocument/2006/relationships/footnotes" Target="footnotes.xml"/><Relationship Id="rId9" Type="http://schemas.openxmlformats.org/officeDocument/2006/relationships/hyperlink" Target="https://ithelp.alliant.edu/uploads/2/2/4/5/2245311/program_audit_checklist__bila_20_20.xlsx" TargetMode="External"/><Relationship Id="rId14" Type="http://schemas.openxmlformats.org/officeDocument/2006/relationships/hyperlink" Target="https://ithelp.alliant.edu/uploads/2/2/4/5/2245311/teacher_performance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Commission on Teacher Credentialing</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Teacher Credentialing</dc:title>
  <dc:creator>Paula Jacobs</dc:creator>
  <cp:lastModifiedBy>Kristy Pruitt</cp:lastModifiedBy>
  <cp:revision>13</cp:revision>
  <dcterms:created xsi:type="dcterms:W3CDTF">2020-09-21T20:53:00Z</dcterms:created>
  <dcterms:modified xsi:type="dcterms:W3CDTF">2021-04-16T22:52:00Z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Acrobat PDFMaker 20 for Word</vt:lpwstr>
  </property>
  <property fmtid="{D5CDD505-2E9C-101B-9397-08002B2CF9AE}" pid="4" name="LastSaved">
    <vt:filetime>2020-09-21T00:00:00Z</vt:filetime>
  </property>
</Properties>
</file>