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2EE9" w14:textId="77777777" w:rsidR="00360E41" w:rsidRDefault="00360E41" w:rsidP="00360E41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Virtual Classroom Observation</w:t>
      </w:r>
    </w:p>
    <w:p w14:paraId="79B7229D" w14:textId="77777777" w:rsidR="00360E41" w:rsidRDefault="00360E41" w:rsidP="00BC685A"/>
    <w:p w14:paraId="04A4F691" w14:textId="54EB715A" w:rsidR="00CD3210" w:rsidRDefault="00360E41" w:rsidP="00BC685A">
      <w:r w:rsidRPr="00360E41">
        <w:rPr>
          <w:u w:val="single"/>
        </w:rPr>
        <w:t>Background</w:t>
      </w:r>
      <w:r>
        <w:t xml:space="preserve">: </w:t>
      </w:r>
      <w:r w:rsidR="00BC685A">
        <w:t xml:space="preserve">It is important for teacher education programs to produce reflective practitioners who </w:t>
      </w:r>
      <w:proofErr w:type="gramStart"/>
      <w:r w:rsidR="00BC685A">
        <w:t>are able to</w:t>
      </w:r>
      <w:proofErr w:type="gramEnd"/>
      <w:r w:rsidR="00BC685A">
        <w:t xml:space="preserve"> critically evaluate their own teaching practice. </w:t>
      </w:r>
      <w:r w:rsidR="000B2250">
        <w:t>One method of accomplishing this is through video self-observation.  However</w:t>
      </w:r>
      <w:r w:rsidR="00BC685A">
        <w:t xml:space="preserve">, overcoming self-consciousness </w:t>
      </w:r>
      <w:proofErr w:type="gramStart"/>
      <w:r w:rsidR="00BC685A">
        <w:t>in order to</w:t>
      </w:r>
      <w:proofErr w:type="gramEnd"/>
      <w:r w:rsidR="00BC685A">
        <w:t xml:space="preserve"> observe oneself critically </w:t>
      </w:r>
      <w:r w:rsidR="000B2250">
        <w:t>can be</w:t>
      </w:r>
      <w:r w:rsidR="00BC685A">
        <w:t xml:space="preserve"> a challenge, especially when self-observation involves viewing classroom video recordings. </w:t>
      </w:r>
      <w:r w:rsidR="000B2250">
        <w:t>Nonetheless,</w:t>
      </w:r>
      <w:r w:rsidR="00BC685A">
        <w:t xml:space="preserve"> video-based self-observation is </w:t>
      </w:r>
      <w:r w:rsidR="00CD3210">
        <w:t xml:space="preserve">an </w:t>
      </w:r>
      <w:r w:rsidR="00BC685A">
        <w:t>important</w:t>
      </w:r>
      <w:r w:rsidR="00CD3210">
        <w:t xml:space="preserve"> form of </w:t>
      </w:r>
      <w:r w:rsidR="00BC685A">
        <w:t>assessment of both preservice and in-service teachers</w:t>
      </w:r>
      <w:r w:rsidR="00CD3210">
        <w:t>.</w:t>
      </w:r>
      <w:r w:rsidR="00BC685A">
        <w:t xml:space="preserve"> </w:t>
      </w:r>
      <w:r w:rsidR="00CD3210">
        <w:t>T</w:t>
      </w:r>
      <w:r w:rsidR="00BC685A">
        <w:t xml:space="preserve">eachers can continually improve their </w:t>
      </w:r>
      <w:r w:rsidR="00CD3210">
        <w:t xml:space="preserve">classroom instruction </w:t>
      </w:r>
      <w:r w:rsidR="00BC685A">
        <w:t xml:space="preserve">through sharing videos </w:t>
      </w:r>
      <w:r w:rsidR="00CD3210">
        <w:t xml:space="preserve">of their lessons </w:t>
      </w:r>
      <w:r w:rsidR="00BC685A">
        <w:t xml:space="preserve">with supervisors, mentors, and peers. </w:t>
      </w:r>
      <w:r w:rsidR="00CD3210">
        <w:t>Alliant teacher credential candidates will perform such self-video analysis in their single subject and multiple subject programs.</w:t>
      </w:r>
    </w:p>
    <w:p w14:paraId="5A121E9C" w14:textId="51AEFF53" w:rsidR="00BC685A" w:rsidRDefault="00BC685A" w:rsidP="00BC685A">
      <w:r>
        <w:t>While it is important for teachers to have experience observing videos of their own teaching, both preservice and in-service teachers can benefit when analyzing video</w:t>
      </w:r>
      <w:r w:rsidR="000B2250">
        <w:t>s</w:t>
      </w:r>
      <w:r>
        <w:t xml:space="preserve"> of others teaching. </w:t>
      </w:r>
      <w:r w:rsidR="00CD3210">
        <w:t xml:space="preserve">In this Bilingual Authorization program, this </w:t>
      </w:r>
      <w:r w:rsidR="000B2250">
        <w:t xml:space="preserve">form of </w:t>
      </w:r>
      <w:r w:rsidR="00CD3210">
        <w:t>video observation of other</w:t>
      </w:r>
      <w:r w:rsidR="000B2250">
        <w:t xml:space="preserve"> practitioners</w:t>
      </w:r>
      <w:r w:rsidR="00CD3210">
        <w:t xml:space="preserve"> will be conducted.</w:t>
      </w:r>
    </w:p>
    <w:p w14:paraId="3D3705B0" w14:textId="5B10858A" w:rsidR="000F454A" w:rsidRDefault="00BC685A" w:rsidP="00BC685A">
      <w:r>
        <w:t xml:space="preserve">It must be noted that there are limitations </w:t>
      </w:r>
      <w:r w:rsidR="000B2250">
        <w:t>t</w:t>
      </w:r>
      <w:r>
        <w:t xml:space="preserve">o what can be seen in classroom video recordings. Classroom video suffers from what is known as the “keyhole effect” in which the observer is limited in his/her ability to judge </w:t>
      </w:r>
      <w:r w:rsidR="00CD3210">
        <w:t xml:space="preserve">the full range of </w:t>
      </w:r>
      <w:r>
        <w:t xml:space="preserve">elements </w:t>
      </w:r>
      <w:r w:rsidR="00CD3210">
        <w:t xml:space="preserve">in </w:t>
      </w:r>
      <w:r>
        <w:t xml:space="preserve">the dynamic classroom </w:t>
      </w:r>
      <w:r w:rsidR="00CD3210">
        <w:t>environment</w:t>
      </w:r>
      <w:r>
        <w:t>. N</w:t>
      </w:r>
      <w:r w:rsidR="000B2250">
        <w:t>ever</w:t>
      </w:r>
      <w:r>
        <w:t xml:space="preserve">theless, such </w:t>
      </w:r>
      <w:r w:rsidR="00CD3210">
        <w:t xml:space="preserve">video </w:t>
      </w:r>
      <w:r>
        <w:t xml:space="preserve">observations are </w:t>
      </w:r>
      <w:r w:rsidR="000B2250">
        <w:t>helpful</w:t>
      </w:r>
      <w:r w:rsidR="00CD3210">
        <w:t>, especially</w:t>
      </w:r>
      <w:r>
        <w:t xml:space="preserve"> when they </w:t>
      </w:r>
      <w:r w:rsidR="00CD3210">
        <w:t>are focused on</w:t>
      </w:r>
      <w:r>
        <w:t xml:space="preserve"> specific elements of the classroom environment and provide opportunities for the viewer to react to what is visible on the video.</w:t>
      </w:r>
    </w:p>
    <w:p w14:paraId="4601DA3C" w14:textId="14E68DB1" w:rsidR="00BC685A" w:rsidRDefault="00BC685A" w:rsidP="00BC685A">
      <w:r>
        <w:t xml:space="preserve">Teacher education researchers have conceptualized teachers’ classroom awareness as </w:t>
      </w:r>
      <w:r w:rsidR="00CD3210">
        <w:t>“</w:t>
      </w:r>
      <w:r>
        <w:t>noticing</w:t>
      </w:r>
      <w:r w:rsidR="00CD3210">
        <w:t>.”</w:t>
      </w:r>
      <w:r>
        <w:t xml:space="preserve"> </w:t>
      </w:r>
      <w:r w:rsidR="00CD3210">
        <w:t>N</w:t>
      </w:r>
      <w:r>
        <w:t xml:space="preserve">oticing </w:t>
      </w:r>
      <w:r w:rsidR="00CD3210">
        <w:t xml:space="preserve">has been defined </w:t>
      </w:r>
      <w:r>
        <w:t xml:space="preserve">as going beyond simply recognizing the presence of </w:t>
      </w:r>
      <w:proofErr w:type="gramStart"/>
      <w:r>
        <w:t>particular events</w:t>
      </w:r>
      <w:proofErr w:type="gramEnd"/>
      <w:r>
        <w:t xml:space="preserve"> or behaviors</w:t>
      </w:r>
      <w:r w:rsidR="00CD3210">
        <w:t xml:space="preserve"> and involves</w:t>
      </w:r>
      <w:r>
        <w:t xml:space="preserve"> attaching meaning</w:t>
      </w:r>
      <w:r w:rsidR="00CD3210">
        <w:t xml:space="preserve"> to what is observed</w:t>
      </w:r>
      <w:r>
        <w:t xml:space="preserve">. An </w:t>
      </w:r>
      <w:r w:rsidR="000B2250">
        <w:t>effective</w:t>
      </w:r>
      <w:r>
        <w:t xml:space="preserve"> step in developing classroom noticing is </w:t>
      </w:r>
      <w:r w:rsidR="000B2250">
        <w:t>through</w:t>
      </w:r>
      <w:r>
        <w:t xml:space="preserve"> selective attention</w:t>
      </w:r>
      <w:r w:rsidR="00CD3210">
        <w:t xml:space="preserve">; that is, </w:t>
      </w:r>
      <w:r w:rsidR="000B2250">
        <w:t xml:space="preserve">candidates can be guided in </w:t>
      </w:r>
      <w:r>
        <w:t xml:space="preserve">what is worth attending to and what is not worth attending to in the classroom environment. </w:t>
      </w:r>
      <w:r w:rsidR="00CD3210">
        <w:t>T</w:t>
      </w:r>
      <w:r>
        <w:t xml:space="preserve">eachers’ reflections </w:t>
      </w:r>
      <w:r w:rsidR="00CD3210">
        <w:t xml:space="preserve">are </w:t>
      </w:r>
      <w:r w:rsidR="000B2250">
        <w:t xml:space="preserve">improved when they are </w:t>
      </w:r>
      <w:r w:rsidR="00CD3210">
        <w:t>provided</w:t>
      </w:r>
      <w:r>
        <w:t xml:space="preserve"> specific lenses to guide their analyses.</w:t>
      </w:r>
      <w:r w:rsidR="00CD3210">
        <w:t xml:space="preserve"> For example, </w:t>
      </w:r>
      <w:r w:rsidR="00360E41">
        <w:t>a</w:t>
      </w:r>
      <w:r>
        <w:t xml:space="preserve"> focusing lens</w:t>
      </w:r>
      <w:r w:rsidR="00CD3210">
        <w:t xml:space="preserve"> </w:t>
      </w:r>
      <w:r w:rsidR="000B2250">
        <w:t xml:space="preserve">for the observation </w:t>
      </w:r>
      <w:r w:rsidR="00CD3210">
        <w:t>might be</w:t>
      </w:r>
      <w:r>
        <w:t xml:space="preserve"> classroom management</w:t>
      </w:r>
      <w:r w:rsidR="00360E41">
        <w:t xml:space="preserve"> or </w:t>
      </w:r>
      <w:r>
        <w:t>student questioning</w:t>
      </w:r>
      <w:r w:rsidR="00360E41">
        <w:t>.</w:t>
      </w:r>
      <w:r>
        <w:t xml:space="preserve"> </w:t>
      </w:r>
    </w:p>
    <w:p w14:paraId="1854F64C" w14:textId="4BBA28FA" w:rsidR="00FD6ED5" w:rsidRDefault="00360E41" w:rsidP="00360E41">
      <w:r w:rsidRPr="00360E41">
        <w:rPr>
          <w:u w:val="single"/>
        </w:rPr>
        <w:t>Directions</w:t>
      </w:r>
      <w:r w:rsidRPr="00360E41">
        <w:t xml:space="preserve">:  </w:t>
      </w:r>
      <w:r w:rsidR="000B2250">
        <w:t>In this assignment, y</w:t>
      </w:r>
      <w:r w:rsidRPr="00360E41">
        <w:t xml:space="preserve">our task is to view </w:t>
      </w:r>
      <w:r w:rsidR="000B2250">
        <w:t>several</w:t>
      </w:r>
      <w:r w:rsidRPr="00360E41">
        <w:t xml:space="preserve"> video lesson excerpt</w:t>
      </w:r>
      <w:r>
        <w:t>s</w:t>
      </w:r>
      <w:r w:rsidRPr="00360E41">
        <w:t xml:space="preserve"> and </w:t>
      </w:r>
      <w:r>
        <w:t>reflect on</w:t>
      </w:r>
      <w:r w:rsidRPr="00360E41">
        <w:t xml:space="preserve"> what you observe in the lesson</w:t>
      </w:r>
      <w:r w:rsidR="000B2250">
        <w:t>. You will be looking for elements</w:t>
      </w:r>
      <w:r w:rsidR="00FD6ED5">
        <w:t xml:space="preserve"> that </w:t>
      </w:r>
      <w:r w:rsidR="000B2250">
        <w:t>are</w:t>
      </w:r>
      <w:r w:rsidR="00FD6ED5">
        <w:t xml:space="preserve"> relevant to the domain of English Language Learner instruction. The</w:t>
      </w:r>
      <w:r w:rsidR="000B2250">
        <w:t>se</w:t>
      </w:r>
      <w:r w:rsidR="00FD6ED5">
        <w:t xml:space="preserve"> videos represent a range of contexts, student types, teacher characteristics, and content areas. It may be helpful for you to recall, per the CTC</w:t>
      </w:r>
      <w:r w:rsidR="00C67E11">
        <w:t xml:space="preserve"> (Bilingual Authorization, CL-628B)</w:t>
      </w:r>
      <w:r w:rsidR="00FD6ED5">
        <w:t xml:space="preserve">, the types of instruction authorized by </w:t>
      </w:r>
      <w:r w:rsidR="000B2250">
        <w:t xml:space="preserve">the </w:t>
      </w:r>
      <w:r w:rsidR="00FD6ED5">
        <w:t>Bilingual Authorization</w:t>
      </w:r>
      <w:r w:rsidR="000B2250">
        <w:t>:</w:t>
      </w:r>
      <w:r w:rsidR="00FD6ED5">
        <w:t xml:space="preserve"> </w:t>
      </w:r>
    </w:p>
    <w:p w14:paraId="727C4D81" w14:textId="77777777" w:rsidR="00FD6ED5" w:rsidRDefault="00FD6ED5" w:rsidP="00FD6ED5">
      <w:pPr>
        <w:pStyle w:val="ListParagraph"/>
        <w:numPr>
          <w:ilvl w:val="0"/>
          <w:numId w:val="2"/>
        </w:numPr>
      </w:pPr>
      <w:r>
        <w:t xml:space="preserve">Instruction for English Language Development (ELD) </w:t>
      </w:r>
    </w:p>
    <w:p w14:paraId="04CDC84C" w14:textId="77777777" w:rsidR="00FD6ED5" w:rsidRDefault="00FD6ED5" w:rsidP="00FD6ED5">
      <w:pPr>
        <w:pStyle w:val="ListParagraph"/>
        <w:numPr>
          <w:ilvl w:val="0"/>
          <w:numId w:val="2"/>
        </w:numPr>
      </w:pPr>
      <w:r>
        <w:t xml:space="preserve">Instruction for Primary Language Development </w:t>
      </w:r>
    </w:p>
    <w:p w14:paraId="73280FA3" w14:textId="77777777" w:rsidR="00FD6ED5" w:rsidRDefault="00FD6ED5" w:rsidP="00FD6ED5">
      <w:pPr>
        <w:pStyle w:val="ListParagraph"/>
        <w:numPr>
          <w:ilvl w:val="0"/>
          <w:numId w:val="2"/>
        </w:numPr>
      </w:pPr>
      <w:r>
        <w:t xml:space="preserve">Specially Designed Academic Instruction Delivered in English (SDAIE) </w:t>
      </w:r>
    </w:p>
    <w:p w14:paraId="5B305E29" w14:textId="40D62A78" w:rsidR="00FD6ED5" w:rsidRPr="00FD6ED5" w:rsidRDefault="00FD6ED5" w:rsidP="00FD6ED5">
      <w:pPr>
        <w:pStyle w:val="ListParagraph"/>
        <w:numPr>
          <w:ilvl w:val="0"/>
          <w:numId w:val="2"/>
        </w:numPr>
      </w:pPr>
      <w:r>
        <w:t>Content Instruction Delivered in the Primary Language</w:t>
      </w:r>
    </w:p>
    <w:p w14:paraId="3C288265" w14:textId="78676880" w:rsidR="00360E41" w:rsidRPr="00360E41" w:rsidRDefault="00360E41" w:rsidP="00360E41">
      <w:r w:rsidRPr="00360E41">
        <w:t xml:space="preserve">In this activity </w:t>
      </w:r>
      <w:r w:rsidR="000B2250">
        <w:t>you</w:t>
      </w:r>
      <w:r w:rsidRPr="00360E41">
        <w:t xml:space="preserve"> will follow these steps:</w:t>
      </w:r>
    </w:p>
    <w:p w14:paraId="3CFD2E10" w14:textId="36092E33" w:rsidR="005B5463" w:rsidRDefault="005B5463" w:rsidP="00360E41">
      <w:pPr>
        <w:pStyle w:val="ListParagraph"/>
        <w:numPr>
          <w:ilvl w:val="0"/>
          <w:numId w:val="1"/>
        </w:numPr>
      </w:pPr>
      <w:r>
        <w:t xml:space="preserve">Preview the six video excerpts below. Select </w:t>
      </w:r>
      <w:r w:rsidRPr="000B2250">
        <w:rPr>
          <w:u w:val="single"/>
        </w:rPr>
        <w:t>any four</w:t>
      </w:r>
      <w:r>
        <w:t xml:space="preserve"> that you would like to view thoroughly and analyze; the remaining two can be omitted.</w:t>
      </w:r>
    </w:p>
    <w:p w14:paraId="791F2BD0" w14:textId="47AD5DE7" w:rsidR="00360E41" w:rsidRPr="00360E41" w:rsidRDefault="00360E41" w:rsidP="00360E41">
      <w:pPr>
        <w:pStyle w:val="ListParagraph"/>
        <w:numPr>
          <w:ilvl w:val="0"/>
          <w:numId w:val="1"/>
        </w:numPr>
      </w:pPr>
      <w:r w:rsidRPr="00360E41">
        <w:t xml:space="preserve">View </w:t>
      </w:r>
      <w:r w:rsidR="005B5463">
        <w:t>each</w:t>
      </w:r>
      <w:r w:rsidRPr="00360E41">
        <w:t xml:space="preserve"> video straight through, without stopping, just looking (no notes) </w:t>
      </w:r>
      <w:proofErr w:type="gramStart"/>
      <w:r w:rsidRPr="00360E41">
        <w:t>in order to</w:t>
      </w:r>
      <w:proofErr w:type="gramEnd"/>
      <w:r w:rsidRPr="00360E41">
        <w:t xml:space="preserve"> “get the big picture.” </w:t>
      </w:r>
    </w:p>
    <w:p w14:paraId="3BE0C393" w14:textId="4E2115A7" w:rsidR="00360E41" w:rsidRPr="00360E41" w:rsidRDefault="00360E41" w:rsidP="00360E41">
      <w:pPr>
        <w:pStyle w:val="ListParagraph"/>
        <w:numPr>
          <w:ilvl w:val="0"/>
          <w:numId w:val="1"/>
        </w:numPr>
      </w:pPr>
      <w:r w:rsidRPr="00360E41">
        <w:lastRenderedPageBreak/>
        <w:t xml:space="preserve">Watch </w:t>
      </w:r>
      <w:r w:rsidR="005B5463">
        <w:t>each</w:t>
      </w:r>
      <w:r w:rsidRPr="00360E41">
        <w:t xml:space="preserve"> video again, taking notes according to </w:t>
      </w:r>
      <w:r w:rsidR="005B5463">
        <w:t xml:space="preserve">the </w:t>
      </w:r>
      <w:r w:rsidR="002F051C">
        <w:t>criteria</w:t>
      </w:r>
      <w:r w:rsidR="005B5463">
        <w:t xml:space="preserve"> provided.</w:t>
      </w:r>
      <w:r w:rsidR="000B2250">
        <w:t xml:space="preserve"> You may note not only what you see happening in the lesson, but you may also find value in the teachers’ “commentary” regarding their instructional decisions.</w:t>
      </w:r>
    </w:p>
    <w:p w14:paraId="4700BD40" w14:textId="77777777" w:rsidR="005B5463" w:rsidRDefault="005B5463" w:rsidP="0034539A">
      <w:pPr>
        <w:pStyle w:val="ListParagraph"/>
        <w:numPr>
          <w:ilvl w:val="0"/>
          <w:numId w:val="1"/>
        </w:numPr>
      </w:pPr>
      <w:r>
        <w:t xml:space="preserve">(Recommended) </w:t>
      </w:r>
      <w:r w:rsidR="00360E41" w:rsidRPr="00360E41">
        <w:t xml:space="preserve">Watch </w:t>
      </w:r>
      <w:r>
        <w:t>each</w:t>
      </w:r>
      <w:r w:rsidR="00360E41" w:rsidRPr="00360E41">
        <w:t xml:space="preserve"> video a third time, </w:t>
      </w:r>
      <w:r>
        <w:t xml:space="preserve">further </w:t>
      </w:r>
      <w:r w:rsidR="00360E41" w:rsidRPr="00360E41">
        <w:t xml:space="preserve">reflecting on and analyzing what you see. </w:t>
      </w:r>
    </w:p>
    <w:p w14:paraId="10DD9F22" w14:textId="0B9DFD07" w:rsidR="00360E41" w:rsidRPr="00360E41" w:rsidRDefault="00360E41" w:rsidP="005B5463">
      <w:pPr>
        <w:ind w:left="360"/>
      </w:pPr>
      <w:r w:rsidRPr="00360E41">
        <w:t xml:space="preserve">Remember, </w:t>
      </w:r>
      <w:r w:rsidR="00C67E11">
        <w:t xml:space="preserve">as noted above, </w:t>
      </w:r>
      <w:r w:rsidRPr="00360E41">
        <w:t xml:space="preserve">the video format is simply the medium by which we </w:t>
      </w:r>
      <w:proofErr w:type="gramStart"/>
      <w:r w:rsidRPr="00360E41">
        <w:t>are allowed to</w:t>
      </w:r>
      <w:proofErr w:type="gramEnd"/>
      <w:r w:rsidRPr="00360E41">
        <w:t xml:space="preserve"> have a </w:t>
      </w:r>
      <w:r w:rsidRPr="005B5463">
        <w:rPr>
          <w:i/>
        </w:rPr>
        <w:t xml:space="preserve">partial </w:t>
      </w:r>
      <w:r w:rsidRPr="00360E41">
        <w:t xml:space="preserve">view of the lesson.  Please DO NOT </w:t>
      </w:r>
      <w:r w:rsidR="00C67E11">
        <w:t xml:space="preserve">focus on or </w:t>
      </w:r>
      <w:r w:rsidRPr="00360E41">
        <w:t xml:space="preserve">comment on the quality of the video, background noise, the camera angle, limited view of the classroom, and so on.  Those are simply </w:t>
      </w:r>
      <w:r w:rsidR="00C67E11">
        <w:t xml:space="preserve">“keyhole” </w:t>
      </w:r>
      <w:r w:rsidRPr="00360E41">
        <w:t xml:space="preserve">aspects of the virtual format and </w:t>
      </w:r>
      <w:r w:rsidR="00C67E11">
        <w:t xml:space="preserve">are </w:t>
      </w:r>
      <w:r w:rsidRPr="00360E41">
        <w:t xml:space="preserve">not to be analyzed.  </w:t>
      </w:r>
    </w:p>
    <w:p w14:paraId="161F8557" w14:textId="21C75577" w:rsidR="00360E41" w:rsidRDefault="00F611B7" w:rsidP="00BC685A">
      <w:pPr>
        <w:rPr>
          <w:u w:val="single"/>
        </w:rPr>
      </w:pPr>
      <w:r w:rsidRPr="00F611B7">
        <w:rPr>
          <w:u w:val="single"/>
        </w:rPr>
        <w:t>Video Lesson Excerpts</w:t>
      </w:r>
    </w:p>
    <w:p w14:paraId="772668CE" w14:textId="7B22F3C8" w:rsidR="00C54F82" w:rsidRPr="00C54F82" w:rsidRDefault="00C54F82" w:rsidP="00BC685A">
      <w:r w:rsidRPr="00C54F82">
        <w:t xml:space="preserve">The following videos </w:t>
      </w:r>
      <w:r>
        <w:t xml:space="preserve">can be found on The Teaching Channel. Log in the </w:t>
      </w:r>
      <w:proofErr w:type="spellStart"/>
      <w:r>
        <w:t>The</w:t>
      </w:r>
      <w:proofErr w:type="spellEnd"/>
      <w:r>
        <w:t xml:space="preserve"> Teaching Channel and copy/paste the following video titles into the search box to locate them.</w:t>
      </w:r>
    </w:p>
    <w:p w14:paraId="18F46BC1" w14:textId="370ECCAB" w:rsidR="00F611B7" w:rsidRDefault="005B5463" w:rsidP="00121229">
      <w:pPr>
        <w:pStyle w:val="ListParagraph"/>
        <w:numPr>
          <w:ilvl w:val="0"/>
          <w:numId w:val="4"/>
        </w:numPr>
      </w:pPr>
      <w:r>
        <w:t>“Deeper Learning for English Language Learners” [13:36]</w:t>
      </w:r>
    </w:p>
    <w:p w14:paraId="4DCE8E51" w14:textId="13A97F81" w:rsidR="005B5463" w:rsidRDefault="005B5463" w:rsidP="00121229">
      <w:pPr>
        <w:pStyle w:val="ListParagraph"/>
        <w:numPr>
          <w:ilvl w:val="0"/>
          <w:numId w:val="4"/>
        </w:numPr>
      </w:pPr>
      <w:r>
        <w:t>“Supporting Language and Content Learning in Math” [9:26]</w:t>
      </w:r>
    </w:p>
    <w:p w14:paraId="688D21BF" w14:textId="260DF4B2" w:rsidR="005B5463" w:rsidRDefault="005B5463" w:rsidP="00121229">
      <w:pPr>
        <w:pStyle w:val="ListParagraph"/>
        <w:numPr>
          <w:ilvl w:val="0"/>
          <w:numId w:val="4"/>
        </w:numPr>
      </w:pPr>
      <w:r>
        <w:t>“Connecting Globally Through Language and Travel” [4:08]</w:t>
      </w:r>
    </w:p>
    <w:p w14:paraId="007129D5" w14:textId="2B44C135" w:rsidR="005B5463" w:rsidRDefault="005B5463" w:rsidP="00121229">
      <w:pPr>
        <w:pStyle w:val="ListParagraph"/>
        <w:numPr>
          <w:ilvl w:val="0"/>
          <w:numId w:val="4"/>
        </w:numPr>
      </w:pPr>
      <w:r>
        <w:t>“Spanish Immersion” [14:25]</w:t>
      </w:r>
    </w:p>
    <w:p w14:paraId="07B4C76E" w14:textId="18BC3845" w:rsidR="005B5463" w:rsidRDefault="005B5463" w:rsidP="00121229">
      <w:pPr>
        <w:pStyle w:val="ListParagraph"/>
        <w:numPr>
          <w:ilvl w:val="0"/>
          <w:numId w:val="4"/>
        </w:numPr>
      </w:pPr>
      <w:r>
        <w:t>“Bridging Content in a Bilingual Classroom” [11:13]</w:t>
      </w:r>
    </w:p>
    <w:p w14:paraId="07C76F22" w14:textId="5694A015" w:rsidR="005B5463" w:rsidRDefault="005B5463" w:rsidP="00121229">
      <w:pPr>
        <w:pStyle w:val="ListParagraph"/>
        <w:numPr>
          <w:ilvl w:val="0"/>
          <w:numId w:val="4"/>
        </w:numPr>
      </w:pPr>
      <w:r>
        <w:t>“Literacy Centers for Multilingual Students” [13:36]</w:t>
      </w:r>
    </w:p>
    <w:p w14:paraId="1ECE1C40" w14:textId="74B00B22" w:rsidR="009D3A18" w:rsidRDefault="009D3A18" w:rsidP="009D3A18">
      <w:r>
        <w:t>Complete the worksheet on the next page. For each of the instructional criteria provided,</w:t>
      </w:r>
      <w:r w:rsidR="00573869">
        <w:t xml:space="preserve"> your task is to</w:t>
      </w:r>
      <w:r>
        <w:t xml:space="preserve"> identify, describe, and analyze </w:t>
      </w:r>
      <w:r w:rsidRPr="00573869">
        <w:rPr>
          <w:u w:val="single"/>
        </w:rPr>
        <w:t>one</w:t>
      </w:r>
      <w:r>
        <w:t xml:space="preserve"> example from </w:t>
      </w:r>
      <w:r w:rsidRPr="00573869">
        <w:rPr>
          <w:u w:val="single"/>
        </w:rPr>
        <w:t>any one</w:t>
      </w:r>
      <w:r>
        <w:t xml:space="preserve"> of the video excerpts. That is, you are not required to find the criteria in </w:t>
      </w:r>
      <w:proofErr w:type="gramStart"/>
      <w:r>
        <w:t>all of</w:t>
      </w:r>
      <w:proofErr w:type="gramEnd"/>
      <w:r>
        <w:t xml:space="preserve"> the videos; one example is sufficient.</w:t>
      </w:r>
    </w:p>
    <w:p w14:paraId="6E3180AA" w14:textId="20EF030C" w:rsidR="00BA3762" w:rsidRDefault="00BA3762" w:rsidP="009D3A18">
      <w:r>
        <w:rPr>
          <w:rFonts w:cstheme="minorHAnsi"/>
          <w:bCs/>
        </w:rPr>
        <w:t xml:space="preserve">Type your responses in the matrix below. While there is no specific word count for each item, your response must be sufficient to enable your instructor to assess </w:t>
      </w:r>
      <w:r w:rsidR="00573869">
        <w:rPr>
          <w:rFonts w:cstheme="minorHAnsi"/>
          <w:bCs/>
        </w:rPr>
        <w:t xml:space="preserve">both </w:t>
      </w:r>
      <w:r>
        <w:rPr>
          <w:rFonts w:cstheme="minorHAnsi"/>
          <w:bCs/>
        </w:rPr>
        <w:t>your knowledge of these areas and your ability to express</w:t>
      </w:r>
      <w:r w:rsidR="00573869">
        <w:rPr>
          <w:rFonts w:cstheme="minorHAnsi"/>
          <w:bCs/>
        </w:rPr>
        <w:t xml:space="preserve"> your reflections on the content</w:t>
      </w:r>
      <w:r>
        <w:rPr>
          <w:rFonts w:cstheme="minorHAnsi"/>
          <w:bCs/>
        </w:rPr>
        <w:t xml:space="preserve"> in a thoughtful and </w:t>
      </w:r>
      <w:r w:rsidR="00573869">
        <w:rPr>
          <w:rFonts w:cstheme="minorHAnsi"/>
          <w:bCs/>
        </w:rPr>
        <w:t>professional</w:t>
      </w:r>
      <w:r>
        <w:rPr>
          <w:rFonts w:cstheme="minorHAnsi"/>
          <w:bCs/>
        </w:rPr>
        <w:t xml:space="preserve"> manner.</w:t>
      </w:r>
      <w:r w:rsidR="00E14B1C">
        <w:rPr>
          <w:rFonts w:cstheme="minorHAnsi"/>
          <w:bCs/>
        </w:rPr>
        <w:t xml:space="preserve"> As you type, the table cells will expand to accommodate your responses.</w:t>
      </w:r>
    </w:p>
    <w:p w14:paraId="4FBDB792" w14:textId="3C383834" w:rsidR="009D3A18" w:rsidRDefault="009D3A18" w:rsidP="009D3A18"/>
    <w:p w14:paraId="53D0E666" w14:textId="1023CA26" w:rsidR="009D3A18" w:rsidRDefault="009D3A18" w:rsidP="009D3A18"/>
    <w:p w14:paraId="480EC748" w14:textId="79FFE6D3" w:rsidR="009D3A18" w:rsidRDefault="009D3A18" w:rsidP="009D3A18"/>
    <w:p w14:paraId="69472C67" w14:textId="6A7F6014" w:rsidR="009D3A18" w:rsidRDefault="009D3A18" w:rsidP="009D3A18"/>
    <w:p w14:paraId="3395D85A" w14:textId="1699BC8E" w:rsidR="009D3A18" w:rsidRDefault="009D3A18" w:rsidP="009D3A18"/>
    <w:p w14:paraId="22E34E7B" w14:textId="054695AF" w:rsidR="009D3A18" w:rsidRDefault="009D3A18" w:rsidP="009D3A18"/>
    <w:p w14:paraId="7FE91B9C" w14:textId="2CD522FD" w:rsidR="009D3A18" w:rsidRDefault="009D3A18" w:rsidP="009D3A18"/>
    <w:p w14:paraId="07AC0C5F" w14:textId="6E633E6C" w:rsidR="009D3A18" w:rsidRDefault="009D3A18" w:rsidP="009D3A18"/>
    <w:p w14:paraId="3D2C0147" w14:textId="06EF348C" w:rsidR="00BA3762" w:rsidRDefault="00BA3762">
      <w:pPr>
        <w:rPr>
          <w:sz w:val="32"/>
          <w:szCs w:val="32"/>
        </w:rPr>
      </w:pPr>
    </w:p>
    <w:p w14:paraId="4F6EA71E" w14:textId="77777777" w:rsidR="00C54F82" w:rsidRDefault="00C54F82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316EFB50" w14:textId="21BFA020" w:rsidR="009D3A18" w:rsidRPr="00BA3762" w:rsidRDefault="009D3A18" w:rsidP="009D3A18">
      <w:pPr>
        <w:jc w:val="center"/>
        <w:rPr>
          <w:sz w:val="32"/>
          <w:szCs w:val="32"/>
        </w:rPr>
      </w:pPr>
      <w:r w:rsidRPr="00BA3762">
        <w:rPr>
          <w:sz w:val="32"/>
          <w:szCs w:val="32"/>
        </w:rPr>
        <w:lastRenderedPageBreak/>
        <w:t>Video Observation Analysis and Reflection</w:t>
      </w:r>
    </w:p>
    <w:p w14:paraId="4605F1B5" w14:textId="6D167ECC" w:rsidR="009D3A18" w:rsidRDefault="009D3A18" w:rsidP="009D3A1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10"/>
        <w:gridCol w:w="2970"/>
        <w:gridCol w:w="3145"/>
      </w:tblGrid>
      <w:tr w:rsidR="009D3A18" w14:paraId="360D8325" w14:textId="77777777" w:rsidTr="00BA3762">
        <w:tc>
          <w:tcPr>
            <w:tcW w:w="2785" w:type="dxa"/>
          </w:tcPr>
          <w:p w14:paraId="35652917" w14:textId="60F728DA" w:rsidR="009D3A18" w:rsidRDefault="009D3A18" w:rsidP="009D3A18">
            <w:pPr>
              <w:jc w:val="center"/>
            </w:pPr>
            <w:r>
              <w:t>Criteria</w:t>
            </w:r>
            <w:r w:rsidR="00121229">
              <w:t>: “The teacher</w:t>
            </w:r>
            <w:r w:rsidR="00573869">
              <w:t>…</w:t>
            </w:r>
            <w:r w:rsidR="00121229">
              <w:t>”</w:t>
            </w:r>
          </w:p>
        </w:tc>
        <w:tc>
          <w:tcPr>
            <w:tcW w:w="810" w:type="dxa"/>
          </w:tcPr>
          <w:p w14:paraId="04E6200A" w14:textId="1E02F7F6" w:rsidR="009D3A18" w:rsidRDefault="009D3A18" w:rsidP="009D3A18">
            <w:pPr>
              <w:jc w:val="center"/>
            </w:pPr>
            <w:r>
              <w:t>Video #</w:t>
            </w:r>
          </w:p>
        </w:tc>
        <w:tc>
          <w:tcPr>
            <w:tcW w:w="2970" w:type="dxa"/>
          </w:tcPr>
          <w:p w14:paraId="0B67DA74" w14:textId="3D025B51" w:rsidR="009D3A18" w:rsidRDefault="009D3A18" w:rsidP="009D3A18">
            <w:pPr>
              <w:jc w:val="center"/>
            </w:pPr>
            <w:r>
              <w:t>Description</w:t>
            </w:r>
          </w:p>
        </w:tc>
        <w:tc>
          <w:tcPr>
            <w:tcW w:w="3145" w:type="dxa"/>
          </w:tcPr>
          <w:p w14:paraId="2A345E2C" w14:textId="26BCDB18" w:rsidR="009D3A18" w:rsidRDefault="009D3A18" w:rsidP="009D3A18">
            <w:pPr>
              <w:jc w:val="center"/>
            </w:pPr>
            <w:r>
              <w:t>Analysis/Reflection</w:t>
            </w:r>
          </w:p>
        </w:tc>
      </w:tr>
      <w:tr w:rsidR="009D3A18" w14:paraId="199A553F" w14:textId="77777777" w:rsidTr="00BA3762">
        <w:tc>
          <w:tcPr>
            <w:tcW w:w="2785" w:type="dxa"/>
          </w:tcPr>
          <w:p w14:paraId="3F6CEF05" w14:textId="66005FE1" w:rsidR="009D3A18" w:rsidRPr="00121229" w:rsidRDefault="00121229" w:rsidP="00121229">
            <w:pPr>
              <w:rPr>
                <w:sz w:val="20"/>
                <w:szCs w:val="20"/>
              </w:rPr>
            </w:pPr>
            <w:r w:rsidRPr="00121229">
              <w:rPr>
                <w:sz w:val="20"/>
                <w:szCs w:val="20"/>
              </w:rPr>
              <w:t>Understands</w:t>
            </w:r>
            <w:r>
              <w:rPr>
                <w:sz w:val="20"/>
                <w:szCs w:val="20"/>
              </w:rPr>
              <w:t xml:space="preserve"> the central concepts of bilingualism/language </w:t>
            </w:r>
            <w:r w:rsidR="006E06ED">
              <w:rPr>
                <w:sz w:val="20"/>
                <w:szCs w:val="20"/>
              </w:rPr>
              <w:t>acquisition.</w:t>
            </w:r>
          </w:p>
        </w:tc>
        <w:tc>
          <w:tcPr>
            <w:tcW w:w="810" w:type="dxa"/>
          </w:tcPr>
          <w:p w14:paraId="511A5EB8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BB092C1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3FFAF51E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6EA626AA" w14:textId="77777777" w:rsidTr="00BA3762">
        <w:tc>
          <w:tcPr>
            <w:tcW w:w="2785" w:type="dxa"/>
          </w:tcPr>
          <w:p w14:paraId="50C50117" w14:textId="0DA62C15" w:rsidR="009D3A18" w:rsidRPr="00121229" w:rsidRDefault="00121229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how students differ in their approaches to learning; adjusts instruction to meet individual student needs.</w:t>
            </w:r>
          </w:p>
        </w:tc>
        <w:tc>
          <w:tcPr>
            <w:tcW w:w="810" w:type="dxa"/>
          </w:tcPr>
          <w:p w14:paraId="30C7B9D4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930D81F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61E022DB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5094F131" w14:textId="77777777" w:rsidTr="00BA3762">
        <w:tc>
          <w:tcPr>
            <w:tcW w:w="2785" w:type="dxa"/>
          </w:tcPr>
          <w:p w14:paraId="7726324E" w14:textId="57BD1CD8" w:rsidR="009D3A18" w:rsidRPr="00121229" w:rsidRDefault="00121229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and uses a variety of instructional strategies</w:t>
            </w:r>
            <w:r w:rsidR="006E06ED">
              <w:rPr>
                <w:sz w:val="20"/>
                <w:szCs w:val="20"/>
              </w:rPr>
              <w:t xml:space="preserve"> geared for language development;</w:t>
            </w:r>
            <w:r>
              <w:rPr>
                <w:sz w:val="20"/>
                <w:szCs w:val="20"/>
              </w:rPr>
              <w:t xml:space="preserve"> create</w:t>
            </w:r>
            <w:r w:rsidR="006E06E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active learning experiences which promote language development.</w:t>
            </w:r>
          </w:p>
        </w:tc>
        <w:tc>
          <w:tcPr>
            <w:tcW w:w="810" w:type="dxa"/>
          </w:tcPr>
          <w:p w14:paraId="0F64BF91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2715E070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0D4FFC76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5B8C74AE" w14:textId="77777777" w:rsidTr="00BA3762">
        <w:tc>
          <w:tcPr>
            <w:tcW w:w="2785" w:type="dxa"/>
          </w:tcPr>
          <w:p w14:paraId="7CF5B2B9" w14:textId="1201622C" w:rsidR="009D3A18" w:rsidRPr="00121229" w:rsidRDefault="00BA3762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knowledge of effective verbal, non-verbal, and media communication skills to maximize acquisition of content by language learners.</w:t>
            </w:r>
          </w:p>
        </w:tc>
        <w:tc>
          <w:tcPr>
            <w:tcW w:w="810" w:type="dxa"/>
          </w:tcPr>
          <w:p w14:paraId="78D65FCF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3268B19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08B32483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4BFA383E" w14:textId="77777777" w:rsidTr="00BA3762">
        <w:tc>
          <w:tcPr>
            <w:tcW w:w="2785" w:type="dxa"/>
          </w:tcPr>
          <w:p w14:paraId="36650ECE" w14:textId="4E7857FC" w:rsidR="009D3A18" w:rsidRPr="00121229" w:rsidRDefault="00BA3762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Understands the role of students’ first language and cultural background in the learning process.</w:t>
            </w:r>
          </w:p>
        </w:tc>
        <w:tc>
          <w:tcPr>
            <w:tcW w:w="810" w:type="dxa"/>
          </w:tcPr>
          <w:p w14:paraId="5DF5B546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3638205D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223E52C6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762469C2" w14:textId="77777777" w:rsidTr="00BA3762">
        <w:tc>
          <w:tcPr>
            <w:tcW w:w="2785" w:type="dxa"/>
          </w:tcPr>
          <w:p w14:paraId="594C72D8" w14:textId="54CE6930" w:rsidR="009D3A18" w:rsidRPr="00121229" w:rsidRDefault="00E14B1C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Acknowledges and demonstrates respect for students’ cultural and language backgrounds;</w:t>
            </w:r>
            <w:r w:rsidR="006E06ED">
              <w:rPr>
                <w:sz w:val="20"/>
                <w:szCs w:val="20"/>
              </w:rPr>
              <w:t xml:space="preserve"> incorporates students’ prior learning in another language into current instruction.</w:t>
            </w:r>
            <w:r>
              <w:rPr>
                <w:sz w:val="20"/>
                <w:szCs w:val="20"/>
              </w:rPr>
              <w:t xml:space="preserve"> </w:t>
            </w:r>
            <w:r w:rsidR="00BA376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</w:tcPr>
          <w:p w14:paraId="64DEBDE1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02752C7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0F9F87AB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  <w:tr w:rsidR="009D3A18" w14:paraId="2C958FCE" w14:textId="77777777" w:rsidTr="00BA3762">
        <w:tc>
          <w:tcPr>
            <w:tcW w:w="2785" w:type="dxa"/>
          </w:tcPr>
          <w:p w14:paraId="6DFA31FB" w14:textId="584D11D6" w:rsidR="009D3A18" w:rsidRPr="00121229" w:rsidRDefault="006E06ED" w:rsidP="00121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(Other elements related to bilingualism, bilingual methodology, or culture which you observed and found meaningful.)</w:t>
            </w:r>
          </w:p>
        </w:tc>
        <w:tc>
          <w:tcPr>
            <w:tcW w:w="810" w:type="dxa"/>
          </w:tcPr>
          <w:p w14:paraId="325C69CA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E532AC0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14:paraId="779BBC59" w14:textId="77777777" w:rsidR="009D3A18" w:rsidRPr="00121229" w:rsidRDefault="009D3A18" w:rsidP="009D3A1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0B5458" w14:textId="77777777" w:rsidR="009D3A18" w:rsidRDefault="009D3A18" w:rsidP="009D3A18">
      <w:pPr>
        <w:jc w:val="center"/>
      </w:pPr>
    </w:p>
    <w:p w14:paraId="27937EC8" w14:textId="77777777" w:rsidR="009D3A18" w:rsidRPr="00360E41" w:rsidRDefault="009D3A18" w:rsidP="009D3A18"/>
    <w:sectPr w:rsidR="009D3A18" w:rsidRPr="00360E41" w:rsidSect="003430A1">
      <w:headerReference w:type="default" r:id="rId7"/>
      <w:pgSz w:w="12240" w:h="15840"/>
      <w:pgMar w:top="540" w:right="1440" w:bottom="990" w:left="108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DA130" w14:textId="77777777" w:rsidR="003430A1" w:rsidRDefault="003430A1" w:rsidP="003430A1">
      <w:pPr>
        <w:spacing w:after="0" w:line="240" w:lineRule="auto"/>
      </w:pPr>
      <w:r>
        <w:separator/>
      </w:r>
    </w:p>
  </w:endnote>
  <w:endnote w:type="continuationSeparator" w:id="0">
    <w:p w14:paraId="65ABAC6F" w14:textId="77777777" w:rsidR="003430A1" w:rsidRDefault="003430A1" w:rsidP="0034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AB272" w14:textId="77777777" w:rsidR="003430A1" w:rsidRDefault="003430A1" w:rsidP="003430A1">
      <w:pPr>
        <w:spacing w:after="0" w:line="240" w:lineRule="auto"/>
      </w:pPr>
      <w:r>
        <w:separator/>
      </w:r>
    </w:p>
  </w:footnote>
  <w:footnote w:type="continuationSeparator" w:id="0">
    <w:p w14:paraId="670D81C2" w14:textId="77777777" w:rsidR="003430A1" w:rsidRDefault="003430A1" w:rsidP="0034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61C3D" w14:textId="63AD3CF0" w:rsidR="003430A1" w:rsidRDefault="003430A1" w:rsidP="003430A1">
    <w:pPr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5C8C59D" wp14:editId="15509A67">
              <wp:simplePos x="0" y="0"/>
              <wp:positionH relativeFrom="column">
                <wp:posOffset>3672793</wp:posOffset>
              </wp:positionH>
              <wp:positionV relativeFrom="paragraph">
                <wp:posOffset>-8890</wp:posOffset>
              </wp:positionV>
              <wp:extent cx="2360930" cy="454025"/>
              <wp:effectExtent l="0" t="0" r="26670" b="222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54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C28384" w14:textId="263B0DC1" w:rsidR="003430A1" w:rsidRPr="003430A1" w:rsidRDefault="003430A1" w:rsidP="003430A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430A1">
                            <w:rPr>
                              <w:sz w:val="20"/>
                              <w:szCs w:val="20"/>
                            </w:rPr>
                            <w:t>BLA 64100</w:t>
                          </w:r>
                        </w:p>
                        <w:p w14:paraId="003C355A" w14:textId="77777777" w:rsidR="003430A1" w:rsidRPr="003430A1" w:rsidRDefault="003430A1" w:rsidP="003430A1">
                          <w:pPr>
                            <w:spacing w:after="0"/>
                            <w:rPr>
                              <w:sz w:val="20"/>
                              <w:szCs w:val="20"/>
                            </w:rPr>
                          </w:pPr>
                          <w:r w:rsidRPr="003430A1">
                            <w:rPr>
                              <w:sz w:val="20"/>
                              <w:szCs w:val="20"/>
                            </w:rPr>
                            <w:t>Theory &amp; Method of Bilingual Pedagogy</w:t>
                          </w:r>
                        </w:p>
                        <w:p w14:paraId="39FE3AED" w14:textId="64798DA0" w:rsidR="003430A1" w:rsidRDefault="003430A1" w:rsidP="003430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C8C5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2pt;margin-top:-.7pt;width:185.9pt;height:35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">
              <v:textbox>
                <w:txbxContent>
                  <w:p w14:paraId="4BC28384" w14:textId="263B0DC1" w:rsidR="003430A1" w:rsidRPr="003430A1" w:rsidRDefault="003430A1" w:rsidP="003430A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3430A1">
                      <w:rPr>
                        <w:sz w:val="20"/>
                        <w:szCs w:val="20"/>
                      </w:rPr>
                      <w:t>BLA 64100</w:t>
                    </w:r>
                  </w:p>
                  <w:p w14:paraId="003C355A" w14:textId="77777777" w:rsidR="003430A1" w:rsidRPr="003430A1" w:rsidRDefault="003430A1" w:rsidP="003430A1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3430A1">
                      <w:rPr>
                        <w:sz w:val="20"/>
                        <w:szCs w:val="20"/>
                      </w:rPr>
                      <w:t>Theory &amp; Method of Bilingual Pedagogy</w:t>
                    </w:r>
                  </w:p>
                  <w:p w14:paraId="39FE3AED" w14:textId="64798DA0" w:rsidR="003430A1" w:rsidRDefault="003430A1" w:rsidP="003430A1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75EB188D" wp14:editId="5719CE42">
          <wp:extent cx="1674748" cy="523359"/>
          <wp:effectExtent l="0" t="0" r="1905" b="0"/>
          <wp:docPr id="7" name="Picture 7" descr="C:\Users\pmullen\AppData\Local\Microsoft\Windows\INetCache\Content.Word\Alliant Logo Final Horizontal 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ullen\AppData\Local\Microsoft\Windows\INetCache\Content.Word\Alliant Logo Final Horizontal 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058" cy="5315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CE579A" w14:textId="45FD660C" w:rsidR="003430A1" w:rsidRDefault="003430A1">
    <w:pPr>
      <w:pStyle w:val="Header"/>
    </w:pPr>
  </w:p>
  <w:p w14:paraId="09E5B7E8" w14:textId="77777777" w:rsidR="003430A1" w:rsidRDefault="003430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61C53"/>
    <w:multiLevelType w:val="hybridMultilevel"/>
    <w:tmpl w:val="96B8A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13329"/>
    <w:multiLevelType w:val="hybridMultilevel"/>
    <w:tmpl w:val="D5560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33747"/>
    <w:multiLevelType w:val="hybridMultilevel"/>
    <w:tmpl w:val="D108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763B6"/>
    <w:multiLevelType w:val="hybridMultilevel"/>
    <w:tmpl w:val="51D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5A"/>
    <w:rsid w:val="000B2250"/>
    <w:rsid w:val="000F454A"/>
    <w:rsid w:val="00121229"/>
    <w:rsid w:val="002F051C"/>
    <w:rsid w:val="003430A1"/>
    <w:rsid w:val="00360E41"/>
    <w:rsid w:val="00573869"/>
    <w:rsid w:val="005B5463"/>
    <w:rsid w:val="006E06ED"/>
    <w:rsid w:val="00741D20"/>
    <w:rsid w:val="009D3A18"/>
    <w:rsid w:val="00BA3762"/>
    <w:rsid w:val="00BC685A"/>
    <w:rsid w:val="00C54F82"/>
    <w:rsid w:val="00C67E11"/>
    <w:rsid w:val="00CD3210"/>
    <w:rsid w:val="00E14B1C"/>
    <w:rsid w:val="00F611B7"/>
    <w:rsid w:val="00FD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11FA1"/>
  <w15:chartTrackingRefBased/>
  <w15:docId w15:val="{634113BE-2F73-4ADC-B106-EC34B7FE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68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360E41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39"/>
    <w:rsid w:val="009D3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0A1"/>
  </w:style>
  <w:style w:type="paragraph" w:styleId="Footer">
    <w:name w:val="footer"/>
    <w:basedOn w:val="Normal"/>
    <w:link w:val="FooterChar"/>
    <w:uiPriority w:val="99"/>
    <w:unhideWhenUsed/>
    <w:rsid w:val="00343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Kelch</dc:creator>
  <cp:keywords/>
  <dc:description/>
  <cp:lastModifiedBy>Ken Kelch</cp:lastModifiedBy>
  <cp:revision>6</cp:revision>
  <dcterms:created xsi:type="dcterms:W3CDTF">2021-04-07T00:16:00Z</dcterms:created>
  <dcterms:modified xsi:type="dcterms:W3CDTF">2021-04-14T21:13:00Z</dcterms:modified>
</cp:coreProperties>
</file>